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DFD036">
      <w:pPr>
        <w:bidi w:val="0"/>
        <w:jc w:val="center"/>
        <w:rPr>
          <w:rFonts w:hint="eastAsia" w:ascii="宋体" w:hAnsi="宋体" w:eastAsia="宋体" w:cs="宋体"/>
          <w:sz w:val="32"/>
          <w:szCs w:val="32"/>
          <w:lang w:val="en-GB" w:eastAsia="zh-CN"/>
        </w:rPr>
      </w:pPr>
      <w:r>
        <w:rPr>
          <w:rFonts w:hint="eastAsia" w:ascii="宋体" w:hAnsi="宋体" w:eastAsia="宋体" w:cs="宋体"/>
          <w:sz w:val="32"/>
          <w:szCs w:val="32"/>
          <w:lang w:val="en-GB" w:eastAsia="zh-CN"/>
        </w:rPr>
        <w:t>启东市宜居宜业和美乡村东部片区建设项目（近海镇亮化</w:t>
      </w:r>
    </w:p>
    <w:p w14:paraId="47FB68E7">
      <w:pPr>
        <w:bidi w:val="0"/>
        <w:jc w:val="center"/>
        <w:rPr>
          <w:rFonts w:hint="eastAsia" w:ascii="宋体" w:hAnsi="宋体" w:eastAsia="宋体" w:cs="宋体"/>
          <w:color w:val="333333"/>
          <w:sz w:val="24"/>
          <w:szCs w:val="24"/>
          <w:shd w:val="clear" w:fill="FFFFFF"/>
        </w:rPr>
      </w:pPr>
      <w:r>
        <w:rPr>
          <w:rFonts w:hint="eastAsia" w:ascii="宋体" w:hAnsi="宋体" w:eastAsia="宋体" w:cs="宋体"/>
          <w:sz w:val="32"/>
          <w:szCs w:val="32"/>
          <w:lang w:val="en-GB" w:eastAsia="zh-CN"/>
        </w:rPr>
        <w:t>工程)采购及安装项目</w:t>
      </w:r>
      <w:r>
        <w:rPr>
          <w:rFonts w:hint="eastAsia" w:ascii="宋体" w:hAnsi="宋体" w:eastAsia="宋体" w:cs="宋体"/>
          <w:sz w:val="32"/>
          <w:szCs w:val="32"/>
          <w:lang w:val="en-US" w:eastAsia="zh-CN"/>
        </w:rPr>
        <w:t>市场</w:t>
      </w:r>
      <w:r>
        <w:rPr>
          <w:rFonts w:hint="eastAsia" w:ascii="宋体" w:hAnsi="宋体" w:eastAsia="宋体" w:cs="宋体"/>
          <w:sz w:val="32"/>
          <w:szCs w:val="32"/>
        </w:rPr>
        <w:t>询价公告</w:t>
      </w:r>
    </w:p>
    <w:p w14:paraId="68726348">
      <w:pPr>
        <w:pStyle w:val="5"/>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line="480" w:lineRule="exact"/>
        <w:ind w:left="0" w:right="0" w:firstLine="420"/>
        <w:jc w:val="left"/>
        <w:textAlignment w:val="auto"/>
        <w:rPr>
          <w:rFonts w:ascii="微软雅黑" w:hAnsi="微软雅黑" w:eastAsia="微软雅黑" w:cs="微软雅黑"/>
          <w:color w:val="333333"/>
          <w:sz w:val="24"/>
          <w:szCs w:val="24"/>
          <w:shd w:val="clear" w:fill="FFFFFF"/>
        </w:rPr>
      </w:pPr>
      <w:r>
        <w:rPr>
          <w:rFonts w:hint="eastAsia" w:ascii="微软雅黑" w:hAnsi="微软雅黑" w:eastAsia="微软雅黑" w:cs="微软雅黑"/>
          <w:color w:val="333333"/>
          <w:sz w:val="24"/>
          <w:szCs w:val="24"/>
          <w:shd w:val="clear" w:fill="FFFFFF"/>
          <w:lang w:val="en-US" w:eastAsia="zh-CN"/>
        </w:rPr>
        <w:t>启东市近海镇人民政府</w:t>
      </w:r>
      <w:r>
        <w:rPr>
          <w:rFonts w:ascii="微软雅黑" w:hAnsi="微软雅黑" w:eastAsia="微软雅黑" w:cs="微软雅黑"/>
          <w:color w:val="333333"/>
          <w:sz w:val="24"/>
          <w:szCs w:val="24"/>
          <w:shd w:val="clear" w:fill="FFFFFF"/>
        </w:rPr>
        <w:t>根据启东市政府采购管理的有关规定，就</w:t>
      </w:r>
      <w:r>
        <w:rPr>
          <w:rFonts w:hint="eastAsia" w:ascii="微软雅黑" w:hAnsi="微软雅黑" w:eastAsia="微软雅黑" w:cs="微软雅黑"/>
          <w:color w:val="333333"/>
          <w:sz w:val="24"/>
          <w:szCs w:val="24"/>
          <w:shd w:val="clear" w:fill="FFFFFF"/>
          <w:lang w:val="en-GB" w:eastAsia="zh-CN"/>
        </w:rPr>
        <w:t>启东市宜居宜业和美乡村东部片区建设项目（近海镇亮化工程)采购及安装项目</w:t>
      </w:r>
      <w:r>
        <w:rPr>
          <w:rFonts w:ascii="微软雅黑" w:hAnsi="微软雅黑" w:eastAsia="微软雅黑" w:cs="微软雅黑"/>
          <w:color w:val="333333"/>
          <w:sz w:val="24"/>
          <w:szCs w:val="24"/>
          <w:shd w:val="clear" w:fill="FFFFFF"/>
        </w:rPr>
        <w:t>进行采购询价。</w:t>
      </w:r>
    </w:p>
    <w:p w14:paraId="3B92AC12">
      <w:pPr>
        <w:keepNext w:val="0"/>
        <w:keepLines w:val="0"/>
        <w:pageBreakBefore w:val="0"/>
        <w:widowControl/>
        <w:kinsoku/>
        <w:wordWrap/>
        <w:overflowPunct/>
        <w:topLinePunct w:val="0"/>
        <w:autoSpaceDE/>
        <w:autoSpaceDN/>
        <w:bidi w:val="0"/>
        <w:adjustRightInd w:val="0"/>
        <w:snapToGrid w:val="0"/>
        <w:spacing w:before="157" w:beforeLines="50" w:after="157" w:afterLines="50" w:line="480" w:lineRule="exact"/>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一、采购需求：</w:t>
      </w:r>
    </w:p>
    <w:p w14:paraId="1E0C43E5">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default"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1.具体采购内容详见本公告附件报价表。</w:t>
      </w:r>
    </w:p>
    <w:p w14:paraId="1B0E7469">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2.质量要求：产品必须是全新、未使用过的原装合格正品，完全符合采购文件规定的质量、规格和性能的要求，达到国家或行业规定的标准。</w:t>
      </w:r>
    </w:p>
    <w:p w14:paraId="126EBB31">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3.质保要求：</w:t>
      </w:r>
      <w:r>
        <w:rPr>
          <w:rFonts w:hint="eastAsia" w:ascii="微软雅黑" w:hAnsi="微软雅黑" w:eastAsia="微软雅黑" w:cs="微软雅黑"/>
          <w:color w:val="333333"/>
          <w:kern w:val="0"/>
          <w:sz w:val="24"/>
          <w:szCs w:val="24"/>
          <w:highlight w:val="none"/>
          <w:shd w:val="clear" w:fill="FFFFFF"/>
          <w:lang w:val="en-US" w:eastAsia="zh-CN" w:bidi="ar"/>
        </w:rPr>
        <w:t>质保期五年，</w:t>
      </w:r>
      <w:r>
        <w:rPr>
          <w:rFonts w:hint="eastAsia" w:ascii="微软雅黑" w:hAnsi="微软雅黑" w:eastAsia="微软雅黑" w:cs="微软雅黑"/>
          <w:color w:val="333333"/>
          <w:kern w:val="0"/>
          <w:sz w:val="24"/>
          <w:szCs w:val="24"/>
          <w:shd w:val="clear" w:fill="FFFFFF"/>
          <w:lang w:val="en-US" w:eastAsia="zh-CN" w:bidi="ar"/>
        </w:rPr>
        <w:t>自验收合格报告签字确认日起，开始进入质保期。</w:t>
      </w:r>
    </w:p>
    <w:p w14:paraId="229AC770">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4.售后服务要求：在质保期内，同一商品、同一质量问题连续两次维修仍无法正常使用，供应商无条件给予全套更新或退货。在免费质保期内，供应商在接到用户单位电话通知后，必须在 4 小时之内上门服务, 并在 8 小时内负责修复。如需更换货物或送修，必须在 12 小时内提供备用货物，并在 7 个工作日内负责对送修货物维修完毕并送至用户单位处。</w:t>
      </w:r>
    </w:p>
    <w:p w14:paraId="5350ABEA">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质保期内如出现质量问题，且确定为非人为因素的，须对产品的各项质量问题进行免费维修，无法修复的，须无条件退货更换；免费保修期内如因使用单位的人为原因造成损坏需更换零部件，只收取零部件的成本费。</w:t>
      </w:r>
    </w:p>
    <w:p w14:paraId="182B4D99">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5.服务周期：</w:t>
      </w:r>
      <w:r>
        <w:rPr>
          <w:rFonts w:hint="eastAsia" w:ascii="微软雅黑" w:hAnsi="微软雅黑" w:eastAsia="微软雅黑" w:cs="微软雅黑"/>
          <w:color w:val="333333"/>
          <w:kern w:val="0"/>
          <w:sz w:val="24"/>
          <w:szCs w:val="24"/>
          <w:highlight w:val="none"/>
          <w:shd w:val="clear" w:fill="FFFFFF"/>
          <w:lang w:val="en-US" w:eastAsia="zh-CN" w:bidi="ar"/>
        </w:rPr>
        <w:t>30 个日历天（实际进场时间以采购单位通知为准）。如不能及时提供符合标准的灯具并且完成安装的，则按延期每天1000元进行扣款，所发生的所有损失由供货商承担。</w:t>
      </w:r>
    </w:p>
    <w:p w14:paraId="383F3950">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default"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6.</w:t>
      </w:r>
      <w:r>
        <w:rPr>
          <w:rFonts w:hint="default" w:ascii="微软雅黑" w:hAnsi="微软雅黑" w:eastAsia="微软雅黑" w:cs="微软雅黑"/>
          <w:color w:val="333333"/>
          <w:kern w:val="0"/>
          <w:sz w:val="24"/>
          <w:szCs w:val="24"/>
          <w:shd w:val="clear" w:fill="FFFFFF"/>
          <w:lang w:val="en-US" w:eastAsia="zh-CN" w:bidi="ar"/>
        </w:rPr>
        <w:t>交货、安装地点：成交供应商应按照采购单位的要求将货物运至采购单位指定地点，在指定位置安装，确保正常使用。</w:t>
      </w:r>
    </w:p>
    <w:p w14:paraId="20203663">
      <w:pPr>
        <w:keepNext w:val="0"/>
        <w:keepLines w:val="0"/>
        <w:pageBreakBefore w:val="0"/>
        <w:widowControl/>
        <w:kinsoku/>
        <w:wordWrap/>
        <w:overflowPunct/>
        <w:topLinePunct w:val="0"/>
        <w:autoSpaceDE/>
        <w:autoSpaceDN/>
        <w:bidi w:val="0"/>
        <w:adjustRightInd w:val="0"/>
        <w:snapToGrid w:val="0"/>
        <w:spacing w:before="157" w:beforeLines="50" w:after="157" w:afterLines="50" w:line="480" w:lineRule="exact"/>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二、供应商资质要求：</w:t>
      </w:r>
    </w:p>
    <w:p w14:paraId="072A4266">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1.满足《中华人民共和国政府采购法》第二十二条规定；</w:t>
      </w:r>
    </w:p>
    <w:p w14:paraId="2CC2CCFE">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2.落实政府采购政策需满足的资格要求：本项目专门面向中小企业采购的项目,货物类项目的货物生产企业或者服务类项目的服务提供商应为中小微企业、监狱和戒毒企业、残疾人福利性单位。并按照采购文件要求提供《中小企业声明函》、《残疾人福利性单位声明函》或监狱和戒毒企业证明材料。</w:t>
      </w:r>
    </w:p>
    <w:p w14:paraId="0ECD7415">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3.本项目的特定资格要求：具有城市及道路照明工程专业承包三级及以上资质。</w:t>
      </w:r>
    </w:p>
    <w:p w14:paraId="65E426DA">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default"/>
          <w:sz w:val="24"/>
          <w:szCs w:val="24"/>
          <w:lang w:val="en-US" w:eastAsia="zh-CN"/>
        </w:rPr>
      </w:pPr>
      <w:r>
        <w:rPr>
          <w:rFonts w:hint="eastAsia" w:ascii="微软雅黑" w:hAnsi="微软雅黑" w:eastAsia="微软雅黑" w:cs="微软雅黑"/>
          <w:color w:val="333333"/>
          <w:kern w:val="0"/>
          <w:sz w:val="24"/>
          <w:szCs w:val="24"/>
          <w:shd w:val="clear" w:fill="FFFFFF"/>
          <w:lang w:val="en-US" w:eastAsia="zh-CN" w:bidi="ar"/>
        </w:rPr>
        <w:t>4.本项目不接受联合体投标。</w:t>
      </w:r>
    </w:p>
    <w:p w14:paraId="0757F6AB">
      <w:pPr>
        <w:keepNext w:val="0"/>
        <w:keepLines w:val="0"/>
        <w:pageBreakBefore w:val="0"/>
        <w:widowControl/>
        <w:kinsoku/>
        <w:wordWrap/>
        <w:overflowPunct/>
        <w:topLinePunct w:val="0"/>
        <w:autoSpaceDE/>
        <w:autoSpaceDN/>
        <w:bidi w:val="0"/>
        <w:adjustRightInd w:val="0"/>
        <w:snapToGrid w:val="0"/>
        <w:spacing w:before="157" w:beforeLines="50" w:after="157" w:afterLines="50" w:line="480" w:lineRule="exact"/>
        <w:jc w:val="left"/>
        <w:textAlignment w:val="auto"/>
        <w:rPr>
          <w:rFonts w:hint="eastAsia" w:ascii="微软雅黑" w:hAnsi="微软雅黑" w:eastAsia="微软雅黑" w:cs="微软雅黑"/>
          <w:color w:val="333333"/>
          <w:kern w:val="0"/>
          <w:sz w:val="24"/>
          <w:szCs w:val="24"/>
          <w:shd w:val="clear" w:fill="FFFFFF"/>
          <w:lang w:val="zh-CN" w:eastAsia="zh-CN" w:bidi="ar"/>
        </w:rPr>
      </w:pPr>
      <w:r>
        <w:rPr>
          <w:rFonts w:hint="eastAsia" w:ascii="微软雅黑" w:hAnsi="微软雅黑" w:eastAsia="微软雅黑" w:cs="微软雅黑"/>
          <w:color w:val="333333"/>
          <w:kern w:val="0"/>
          <w:sz w:val="24"/>
          <w:szCs w:val="24"/>
          <w:shd w:val="clear" w:fill="FFFFFF"/>
          <w:lang w:val="en-US" w:eastAsia="zh-CN" w:bidi="ar"/>
        </w:rPr>
        <w:t>三</w:t>
      </w:r>
      <w:r>
        <w:rPr>
          <w:rFonts w:hint="eastAsia" w:ascii="微软雅黑" w:hAnsi="微软雅黑" w:eastAsia="微软雅黑" w:cs="微软雅黑"/>
          <w:color w:val="333333"/>
          <w:kern w:val="0"/>
          <w:sz w:val="24"/>
          <w:szCs w:val="24"/>
          <w:shd w:val="clear" w:fill="FFFFFF"/>
          <w:lang w:val="zh-CN" w:eastAsia="zh-CN" w:bidi="ar"/>
        </w:rPr>
        <w:t>、约定事项</w:t>
      </w:r>
    </w:p>
    <w:p w14:paraId="2DB53484">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en-US" w:eastAsia="zh-CN" w:bidi="ar"/>
        </w:rPr>
      </w:pPr>
      <w:r>
        <w:rPr>
          <w:rFonts w:hint="eastAsia" w:ascii="微软雅黑" w:hAnsi="微软雅黑" w:eastAsia="微软雅黑" w:cs="微软雅黑"/>
          <w:color w:val="333333"/>
          <w:kern w:val="0"/>
          <w:sz w:val="24"/>
          <w:szCs w:val="24"/>
          <w:shd w:val="clear" w:fill="FFFFFF"/>
          <w:lang w:val="en-US" w:eastAsia="zh-CN" w:bidi="ar"/>
        </w:rPr>
        <w:t>1.上述采购要求为最低要求，不得负偏离，否则视为无效报价。</w:t>
      </w:r>
    </w:p>
    <w:p w14:paraId="72424DD2">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highlight w:val="yellow"/>
          <w:shd w:val="clear" w:fill="FFFFFF"/>
          <w:lang w:val="en-US" w:eastAsia="zh-CN" w:bidi="ar"/>
        </w:rPr>
      </w:pPr>
      <w:r>
        <w:rPr>
          <w:rFonts w:hint="eastAsia" w:ascii="微软雅黑" w:hAnsi="微软雅黑" w:eastAsia="微软雅黑" w:cs="微软雅黑"/>
          <w:color w:val="333333"/>
          <w:kern w:val="0"/>
          <w:sz w:val="24"/>
          <w:szCs w:val="24"/>
          <w:highlight w:val="none"/>
          <w:shd w:val="clear" w:fill="FFFFFF"/>
          <w:lang w:val="en-US" w:eastAsia="zh-CN" w:bidi="ar"/>
        </w:rPr>
        <w:t>2</w:t>
      </w:r>
      <w:r>
        <w:rPr>
          <w:rFonts w:hint="eastAsia" w:ascii="微软雅黑" w:hAnsi="微软雅黑" w:eastAsia="微软雅黑" w:cs="微软雅黑"/>
          <w:color w:val="333333"/>
          <w:kern w:val="0"/>
          <w:sz w:val="24"/>
          <w:szCs w:val="24"/>
          <w:highlight w:val="none"/>
          <w:shd w:val="clear" w:fill="FFFFFF"/>
          <w:lang w:val="zh-CN" w:eastAsia="zh-CN" w:bidi="ar"/>
        </w:rPr>
        <w:t>.拟定支付方式</w:t>
      </w:r>
      <w:r>
        <w:rPr>
          <w:rFonts w:hint="eastAsia" w:ascii="微软雅黑" w:hAnsi="微软雅黑" w:eastAsia="微软雅黑" w:cs="微软雅黑"/>
          <w:color w:val="333333"/>
          <w:kern w:val="0"/>
          <w:sz w:val="24"/>
          <w:szCs w:val="24"/>
          <w:highlight w:val="none"/>
          <w:shd w:val="clear" w:fill="FFFFFF"/>
          <w:lang w:val="en-US" w:eastAsia="zh-CN" w:bidi="ar"/>
        </w:rPr>
        <w:t>：合同签订后，货物运送到需方指定地点安装调试完成，并经需方组织验收通过合格后付至合同价款的80%，验收合格满一年且结算审计完成后付至审定价的95%,余款于验收合格之日算起满五年时提供使用单位出具的无质量问题证明后付清。</w:t>
      </w:r>
    </w:p>
    <w:p w14:paraId="730CFB95">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kern w:val="0"/>
          <w:sz w:val="24"/>
          <w:szCs w:val="24"/>
          <w:shd w:val="clear" w:fill="FFFFFF"/>
          <w:lang w:val="zh-CN" w:eastAsia="zh-CN" w:bidi="ar"/>
        </w:rPr>
      </w:pPr>
      <w:r>
        <w:rPr>
          <w:rFonts w:hint="eastAsia" w:ascii="微软雅黑" w:hAnsi="微软雅黑" w:eastAsia="微软雅黑" w:cs="微软雅黑"/>
          <w:color w:val="333333"/>
          <w:kern w:val="0"/>
          <w:sz w:val="24"/>
          <w:szCs w:val="24"/>
          <w:shd w:val="clear" w:fill="FFFFFF"/>
          <w:lang w:val="en-US" w:eastAsia="zh-CN" w:bidi="ar"/>
        </w:rPr>
        <w:t>3.</w:t>
      </w:r>
      <w:r>
        <w:rPr>
          <w:rFonts w:hint="eastAsia" w:ascii="微软雅黑" w:hAnsi="微软雅黑" w:eastAsia="微软雅黑" w:cs="微软雅黑"/>
          <w:color w:val="333333"/>
          <w:kern w:val="0"/>
          <w:sz w:val="24"/>
          <w:szCs w:val="24"/>
          <w:shd w:val="clear" w:fill="FFFFFF"/>
          <w:lang w:val="zh-CN" w:eastAsia="zh-CN" w:bidi="ar"/>
        </w:rPr>
        <w:t>市场询价表及相关材料于</w:t>
      </w:r>
      <w:r>
        <w:rPr>
          <w:rFonts w:hint="eastAsia" w:ascii="微软雅黑" w:hAnsi="微软雅黑" w:eastAsia="微软雅黑" w:cs="微软雅黑"/>
          <w:b/>
          <w:bCs/>
          <w:color w:val="333333"/>
          <w:kern w:val="0"/>
          <w:sz w:val="24"/>
          <w:szCs w:val="24"/>
          <w:shd w:val="clear" w:fill="FFFFFF"/>
          <w:lang w:val="zh-CN" w:eastAsia="zh-CN" w:bidi="ar"/>
        </w:rPr>
        <w:t>2025年</w:t>
      </w:r>
      <w:r>
        <w:rPr>
          <w:rFonts w:hint="eastAsia" w:ascii="微软雅黑" w:hAnsi="微软雅黑" w:eastAsia="微软雅黑" w:cs="微软雅黑"/>
          <w:b/>
          <w:bCs/>
          <w:color w:val="333333"/>
          <w:kern w:val="0"/>
          <w:sz w:val="24"/>
          <w:szCs w:val="24"/>
          <w:shd w:val="clear" w:fill="FFFFFF"/>
          <w:lang w:val="en-US" w:eastAsia="zh-CN" w:bidi="ar"/>
        </w:rPr>
        <w:t>10</w:t>
      </w:r>
      <w:r>
        <w:rPr>
          <w:rFonts w:hint="eastAsia" w:ascii="微软雅黑" w:hAnsi="微软雅黑" w:eastAsia="微软雅黑" w:cs="微软雅黑"/>
          <w:b/>
          <w:bCs/>
          <w:color w:val="333333"/>
          <w:kern w:val="0"/>
          <w:sz w:val="24"/>
          <w:szCs w:val="24"/>
          <w:shd w:val="clear" w:fill="FFFFFF"/>
          <w:lang w:val="zh-CN" w:eastAsia="zh-CN" w:bidi="ar"/>
        </w:rPr>
        <w:t>月</w:t>
      </w:r>
      <w:r>
        <w:rPr>
          <w:rFonts w:hint="eastAsia" w:ascii="微软雅黑" w:hAnsi="微软雅黑" w:eastAsia="微软雅黑" w:cs="微软雅黑"/>
          <w:b/>
          <w:bCs/>
          <w:color w:val="333333"/>
          <w:kern w:val="0"/>
          <w:sz w:val="24"/>
          <w:szCs w:val="24"/>
          <w:shd w:val="clear" w:fill="FFFFFF"/>
          <w:lang w:val="en-US" w:eastAsia="zh-CN" w:bidi="ar"/>
        </w:rPr>
        <w:t>22</w:t>
      </w:r>
      <w:r>
        <w:rPr>
          <w:rFonts w:hint="eastAsia" w:ascii="微软雅黑" w:hAnsi="微软雅黑" w:eastAsia="微软雅黑" w:cs="微软雅黑"/>
          <w:b/>
          <w:bCs/>
          <w:color w:val="333333"/>
          <w:kern w:val="0"/>
          <w:sz w:val="24"/>
          <w:szCs w:val="24"/>
          <w:shd w:val="clear" w:fill="FFFFFF"/>
          <w:lang w:val="zh-CN" w:eastAsia="zh-CN" w:bidi="ar"/>
        </w:rPr>
        <w:t>日17:00前</w:t>
      </w:r>
      <w:r>
        <w:rPr>
          <w:rFonts w:hint="eastAsia" w:ascii="微软雅黑" w:hAnsi="微软雅黑" w:eastAsia="微软雅黑" w:cs="微软雅黑"/>
          <w:color w:val="333333"/>
          <w:kern w:val="0"/>
          <w:sz w:val="24"/>
          <w:szCs w:val="24"/>
          <w:shd w:val="clear" w:fill="FFFFFF"/>
          <w:lang w:val="zh-CN" w:eastAsia="zh-CN" w:bidi="ar"/>
        </w:rPr>
        <w:t>，需将报价表及</w:t>
      </w:r>
      <w:r>
        <w:rPr>
          <w:rFonts w:hint="eastAsia" w:ascii="微软雅黑" w:hAnsi="微软雅黑" w:eastAsia="微软雅黑" w:cs="微软雅黑"/>
          <w:color w:val="333333"/>
          <w:kern w:val="0"/>
          <w:sz w:val="24"/>
          <w:szCs w:val="24"/>
          <w:shd w:val="clear" w:fill="FFFFFF"/>
          <w:lang w:val="en-US" w:eastAsia="zh-CN" w:bidi="ar"/>
        </w:rPr>
        <w:t>营业执照等</w:t>
      </w:r>
      <w:r>
        <w:rPr>
          <w:rFonts w:hint="eastAsia" w:ascii="微软雅黑" w:hAnsi="微软雅黑" w:eastAsia="微软雅黑" w:cs="微软雅黑"/>
          <w:color w:val="333333"/>
          <w:kern w:val="0"/>
          <w:sz w:val="24"/>
          <w:szCs w:val="24"/>
          <w:shd w:val="clear" w:fill="FFFFFF"/>
          <w:lang w:val="zh-CN" w:eastAsia="zh-CN" w:bidi="ar"/>
        </w:rPr>
        <w:t>复印件加盖单位公章扫描发送至</w:t>
      </w:r>
      <w:r>
        <w:rPr>
          <w:rFonts w:hint="eastAsia" w:ascii="微软雅黑" w:hAnsi="微软雅黑" w:eastAsia="微软雅黑" w:cs="微软雅黑"/>
          <w:b/>
          <w:bCs/>
          <w:color w:val="333333"/>
          <w:kern w:val="0"/>
          <w:sz w:val="24"/>
          <w:szCs w:val="24"/>
          <w:shd w:val="clear" w:fill="FFFFFF"/>
          <w:lang w:val="zh-CN" w:eastAsia="zh-CN" w:bidi="ar"/>
        </w:rPr>
        <w:t>ntdz9192@126.com</w:t>
      </w:r>
      <w:r>
        <w:rPr>
          <w:rFonts w:hint="eastAsia" w:ascii="微软雅黑" w:hAnsi="微软雅黑" w:eastAsia="微软雅黑" w:cs="微软雅黑"/>
          <w:color w:val="333333"/>
          <w:kern w:val="0"/>
          <w:sz w:val="24"/>
          <w:szCs w:val="24"/>
          <w:shd w:val="clear" w:fill="FFFFFF"/>
          <w:lang w:val="zh-CN" w:eastAsia="zh-CN" w:bidi="ar"/>
        </w:rPr>
        <w:t>，联系人：</w:t>
      </w:r>
      <w:bookmarkStart w:id="0" w:name="_GoBack"/>
      <w:bookmarkEnd w:id="0"/>
      <w:r>
        <w:rPr>
          <w:rFonts w:hint="eastAsia" w:ascii="微软雅黑" w:hAnsi="微软雅黑" w:eastAsia="微软雅黑" w:cs="微软雅黑"/>
          <w:color w:val="333333"/>
          <w:kern w:val="0"/>
          <w:sz w:val="24"/>
          <w:szCs w:val="24"/>
          <w:shd w:val="clear" w:fill="FFFFFF"/>
          <w:lang w:val="en-US" w:eastAsia="zh-CN" w:bidi="ar"/>
        </w:rPr>
        <w:t>陆海亚</w:t>
      </w:r>
      <w:r>
        <w:rPr>
          <w:rFonts w:hint="eastAsia" w:ascii="微软雅黑" w:hAnsi="微软雅黑" w:eastAsia="微软雅黑" w:cs="微软雅黑"/>
          <w:color w:val="333333"/>
          <w:kern w:val="0"/>
          <w:sz w:val="24"/>
          <w:szCs w:val="24"/>
          <w:shd w:val="clear" w:fill="FFFFFF"/>
          <w:lang w:val="zh-CN" w:eastAsia="zh-CN" w:bidi="ar"/>
        </w:rPr>
        <w:t>，联系电话：0513-83302829。</w:t>
      </w:r>
    </w:p>
    <w:p w14:paraId="6C9011E2">
      <w:pPr>
        <w:keepNext w:val="0"/>
        <w:keepLines w:val="0"/>
        <w:pageBreakBefore w:val="0"/>
        <w:widowControl/>
        <w:kinsoku/>
        <w:wordWrap/>
        <w:overflowPunct/>
        <w:topLinePunct w:val="0"/>
        <w:autoSpaceDE/>
        <w:autoSpaceDN/>
        <w:bidi w:val="0"/>
        <w:adjustRightInd w:val="0"/>
        <w:snapToGrid w:val="0"/>
        <w:spacing w:line="480" w:lineRule="exact"/>
        <w:ind w:firstLine="480" w:firstLineChars="200"/>
        <w:jc w:val="left"/>
        <w:textAlignment w:val="auto"/>
        <w:rPr>
          <w:rFonts w:hint="eastAsia" w:ascii="微软雅黑" w:hAnsi="微软雅黑" w:eastAsia="微软雅黑" w:cs="微软雅黑"/>
          <w:color w:val="333333"/>
          <w:sz w:val="24"/>
          <w:szCs w:val="24"/>
          <w:shd w:val="clear" w:fill="FFFFFF"/>
        </w:rPr>
      </w:pPr>
      <w:r>
        <w:rPr>
          <w:rFonts w:hint="eastAsia" w:ascii="微软雅黑" w:hAnsi="微软雅黑" w:eastAsia="微软雅黑" w:cs="微软雅黑"/>
          <w:color w:val="333333"/>
          <w:kern w:val="0"/>
          <w:sz w:val="24"/>
          <w:szCs w:val="24"/>
          <w:shd w:val="clear" w:fill="FFFFFF"/>
          <w:lang w:val="en-US" w:eastAsia="zh-CN" w:bidi="ar"/>
        </w:rPr>
        <w:t>4</w:t>
      </w:r>
      <w:r>
        <w:rPr>
          <w:rFonts w:hint="eastAsia" w:ascii="微软雅黑" w:hAnsi="微软雅黑" w:eastAsia="微软雅黑" w:cs="微软雅黑"/>
          <w:color w:val="333333"/>
          <w:kern w:val="0"/>
          <w:sz w:val="24"/>
          <w:szCs w:val="24"/>
          <w:shd w:val="clear" w:fill="FFFFFF"/>
          <w:lang w:val="zh-CN" w:eastAsia="zh-CN" w:bidi="ar"/>
        </w:rPr>
        <w:t>.其他：（1）请报价单位认真核算、如实报价，如发现虚假报价的，该单位将被列入黑名单；（2）本次报价仅作为市场调研用，因此价格仅供参考；（3）本次调研询价不接收质疑函，只接收对本项目的建议。</w:t>
      </w:r>
    </w:p>
    <w:p w14:paraId="411C2487">
      <w:pPr>
        <w:pStyle w:val="5"/>
        <w:keepNext w:val="0"/>
        <w:keepLines w:val="0"/>
        <w:pageBreakBefore w:val="0"/>
        <w:widowControl/>
        <w:suppressLineNumbers w:val="0"/>
        <w:kinsoku/>
        <w:wordWrap/>
        <w:overflowPunct/>
        <w:topLinePunct w:val="0"/>
        <w:autoSpaceDE/>
        <w:autoSpaceDN/>
        <w:bidi w:val="0"/>
        <w:adjustRightInd/>
        <w:snapToGrid/>
        <w:spacing w:before="302" w:beforeAutospacing="0" w:after="226" w:afterAutospacing="0" w:line="480" w:lineRule="exact"/>
        <w:ind w:left="0" w:right="0" w:firstLine="420"/>
        <w:jc w:val="right"/>
        <w:textAlignment w:val="auto"/>
        <w:rPr>
          <w:rFonts w:hint="eastAsia" w:ascii="微软雅黑" w:hAnsi="微软雅黑" w:eastAsia="微软雅黑" w:cs="微软雅黑"/>
          <w:color w:val="333333"/>
          <w:sz w:val="24"/>
          <w:szCs w:val="24"/>
          <w:shd w:val="clear" w:fill="FFFFFF"/>
        </w:rPr>
      </w:pPr>
      <w:r>
        <w:rPr>
          <w:rFonts w:hint="eastAsia" w:ascii="微软雅黑" w:hAnsi="微软雅黑" w:eastAsia="微软雅黑" w:cs="微软雅黑"/>
          <w:color w:val="333333"/>
          <w:sz w:val="24"/>
          <w:szCs w:val="24"/>
          <w:shd w:val="clear" w:fill="FFFFFF"/>
        </w:rPr>
        <w:t>启东市近海镇人民政府</w:t>
      </w:r>
    </w:p>
    <w:p w14:paraId="3BFEEFF7">
      <w:pPr>
        <w:pStyle w:val="5"/>
        <w:keepNext w:val="0"/>
        <w:keepLines w:val="0"/>
        <w:pageBreakBefore w:val="0"/>
        <w:widowControl/>
        <w:suppressLineNumbers w:val="0"/>
        <w:kinsoku/>
        <w:wordWrap/>
        <w:overflowPunct/>
        <w:topLinePunct w:val="0"/>
        <w:autoSpaceDE/>
        <w:autoSpaceDN/>
        <w:bidi w:val="0"/>
        <w:adjustRightInd/>
        <w:snapToGrid/>
        <w:spacing w:before="302" w:beforeAutospacing="0" w:after="226" w:afterAutospacing="0" w:line="480" w:lineRule="exact"/>
        <w:ind w:left="0" w:right="0" w:firstLine="420"/>
        <w:jc w:val="right"/>
        <w:textAlignment w:val="auto"/>
        <w:rPr>
          <w:rFonts w:hint="eastAsia" w:ascii="微软雅黑" w:hAnsi="微软雅黑" w:eastAsia="微软雅黑" w:cs="微软雅黑"/>
          <w:color w:val="333333"/>
          <w:sz w:val="24"/>
          <w:szCs w:val="24"/>
          <w:highlight w:val="none"/>
          <w:shd w:val="clear" w:fill="FFFFFF"/>
        </w:rPr>
      </w:pPr>
      <w:r>
        <w:rPr>
          <w:rFonts w:hint="eastAsia" w:ascii="微软雅黑" w:hAnsi="微软雅黑" w:eastAsia="微软雅黑" w:cs="微软雅黑"/>
          <w:color w:val="333333"/>
          <w:sz w:val="24"/>
          <w:szCs w:val="24"/>
          <w:highlight w:val="none"/>
          <w:shd w:val="clear" w:fill="FFFFFF"/>
        </w:rPr>
        <w:t>202</w:t>
      </w:r>
      <w:r>
        <w:rPr>
          <w:rFonts w:hint="eastAsia" w:ascii="微软雅黑" w:hAnsi="微软雅黑" w:eastAsia="微软雅黑" w:cs="微软雅黑"/>
          <w:color w:val="333333"/>
          <w:sz w:val="24"/>
          <w:szCs w:val="24"/>
          <w:highlight w:val="none"/>
          <w:shd w:val="clear" w:fill="FFFFFF"/>
          <w:lang w:val="en-US" w:eastAsia="zh-CN"/>
        </w:rPr>
        <w:t>5</w:t>
      </w:r>
      <w:r>
        <w:rPr>
          <w:rFonts w:hint="eastAsia" w:ascii="微软雅黑" w:hAnsi="微软雅黑" w:eastAsia="微软雅黑" w:cs="微软雅黑"/>
          <w:color w:val="333333"/>
          <w:sz w:val="24"/>
          <w:szCs w:val="24"/>
          <w:highlight w:val="none"/>
          <w:shd w:val="clear" w:fill="FFFFFF"/>
        </w:rPr>
        <w:t>年</w:t>
      </w:r>
      <w:r>
        <w:rPr>
          <w:rFonts w:hint="eastAsia" w:ascii="微软雅黑" w:hAnsi="微软雅黑" w:eastAsia="微软雅黑" w:cs="微软雅黑"/>
          <w:color w:val="333333"/>
          <w:sz w:val="24"/>
          <w:szCs w:val="24"/>
          <w:highlight w:val="none"/>
          <w:shd w:val="clear" w:fill="FFFFFF"/>
          <w:lang w:val="en-US" w:eastAsia="zh-CN"/>
        </w:rPr>
        <w:t>10</w:t>
      </w:r>
      <w:r>
        <w:rPr>
          <w:rFonts w:hint="eastAsia" w:ascii="微软雅黑" w:hAnsi="微软雅黑" w:eastAsia="微软雅黑" w:cs="微软雅黑"/>
          <w:color w:val="333333"/>
          <w:sz w:val="24"/>
          <w:szCs w:val="24"/>
          <w:highlight w:val="none"/>
          <w:shd w:val="clear" w:fill="FFFFFF"/>
        </w:rPr>
        <w:t>月</w:t>
      </w:r>
      <w:r>
        <w:rPr>
          <w:rFonts w:hint="eastAsia" w:ascii="微软雅黑" w:hAnsi="微软雅黑" w:eastAsia="微软雅黑" w:cs="微软雅黑"/>
          <w:color w:val="333333"/>
          <w:sz w:val="24"/>
          <w:szCs w:val="24"/>
          <w:highlight w:val="none"/>
          <w:shd w:val="clear" w:fill="FFFFFF"/>
          <w:lang w:val="en-US" w:eastAsia="zh-CN"/>
        </w:rPr>
        <w:t>16</w:t>
      </w:r>
      <w:r>
        <w:rPr>
          <w:rFonts w:hint="eastAsia" w:ascii="微软雅黑" w:hAnsi="微软雅黑" w:eastAsia="微软雅黑" w:cs="微软雅黑"/>
          <w:color w:val="333333"/>
          <w:sz w:val="24"/>
          <w:szCs w:val="24"/>
          <w:highlight w:val="none"/>
          <w:shd w:val="clear" w:fill="FFFFFF"/>
        </w:rPr>
        <w:t>日</w:t>
      </w:r>
    </w:p>
    <w:p w14:paraId="4B10979F">
      <w:pPr>
        <w:pStyle w:val="5"/>
        <w:keepNext w:val="0"/>
        <w:keepLines w:val="0"/>
        <w:pageBreakBefore w:val="0"/>
        <w:widowControl/>
        <w:suppressLineNumbers w:val="0"/>
        <w:kinsoku/>
        <w:wordWrap/>
        <w:overflowPunct/>
        <w:topLinePunct w:val="0"/>
        <w:autoSpaceDE/>
        <w:autoSpaceDN/>
        <w:bidi w:val="0"/>
        <w:spacing w:before="302" w:beforeAutospacing="0" w:after="226" w:afterAutospacing="0" w:line="520" w:lineRule="exact"/>
        <w:ind w:left="0" w:right="0" w:firstLine="420"/>
        <w:jc w:val="right"/>
        <w:textAlignment w:val="auto"/>
        <w:rPr>
          <w:rFonts w:hint="eastAsia" w:ascii="微软雅黑" w:hAnsi="微软雅黑" w:eastAsia="微软雅黑" w:cs="微软雅黑"/>
          <w:color w:val="333333"/>
          <w:sz w:val="24"/>
          <w:szCs w:val="24"/>
          <w:highlight w:val="none"/>
          <w:shd w:val="clear" w:fill="FFFFFF"/>
          <w:lang w:val="en-US" w:eastAsia="zh-CN"/>
        </w:rPr>
      </w:pPr>
    </w:p>
    <w:p w14:paraId="36B6CD27">
      <w:pPr>
        <w:pStyle w:val="5"/>
        <w:keepNext w:val="0"/>
        <w:keepLines w:val="0"/>
        <w:pageBreakBefore w:val="0"/>
        <w:widowControl/>
        <w:suppressLineNumbers w:val="0"/>
        <w:kinsoku/>
        <w:wordWrap/>
        <w:overflowPunct/>
        <w:topLinePunct w:val="0"/>
        <w:autoSpaceDE/>
        <w:autoSpaceDN/>
        <w:bidi w:val="0"/>
        <w:spacing w:before="302" w:beforeAutospacing="0" w:after="226" w:afterAutospacing="0" w:line="520" w:lineRule="exact"/>
        <w:ind w:left="0" w:right="0" w:firstLine="420"/>
        <w:jc w:val="right"/>
        <w:textAlignment w:val="auto"/>
        <w:rPr>
          <w:rFonts w:hint="eastAsia" w:ascii="微软雅黑" w:hAnsi="微软雅黑" w:eastAsia="微软雅黑" w:cs="微软雅黑"/>
          <w:color w:val="333333"/>
          <w:sz w:val="24"/>
          <w:szCs w:val="24"/>
          <w:highlight w:val="none"/>
          <w:shd w:val="clear" w:fill="FFFFFF"/>
          <w:lang w:val="en-US" w:eastAsia="zh-CN"/>
        </w:rPr>
      </w:pPr>
    </w:p>
    <w:p w14:paraId="4EADE050">
      <w:pPr>
        <w:pStyle w:val="5"/>
        <w:keepNext w:val="0"/>
        <w:keepLines w:val="0"/>
        <w:pageBreakBefore w:val="0"/>
        <w:widowControl/>
        <w:suppressLineNumbers w:val="0"/>
        <w:kinsoku/>
        <w:wordWrap/>
        <w:overflowPunct/>
        <w:topLinePunct w:val="0"/>
        <w:autoSpaceDE/>
        <w:autoSpaceDN/>
        <w:bidi w:val="0"/>
        <w:spacing w:before="302" w:beforeAutospacing="0" w:after="226" w:afterAutospacing="0" w:line="520" w:lineRule="exact"/>
        <w:ind w:left="0" w:right="0" w:firstLine="420"/>
        <w:jc w:val="right"/>
        <w:textAlignment w:val="auto"/>
        <w:rPr>
          <w:rFonts w:hint="eastAsia" w:ascii="微软雅黑" w:hAnsi="微软雅黑" w:eastAsia="微软雅黑" w:cs="微软雅黑"/>
          <w:color w:val="333333"/>
          <w:sz w:val="24"/>
          <w:szCs w:val="24"/>
          <w:highlight w:val="none"/>
          <w:shd w:val="clear" w:fill="FFFFFF"/>
          <w:lang w:val="en-US" w:eastAsia="zh-CN"/>
        </w:rPr>
      </w:pPr>
    </w:p>
    <w:p w14:paraId="6A27D4C7">
      <w:pPr>
        <w:pStyle w:val="5"/>
        <w:keepNext w:val="0"/>
        <w:keepLines w:val="0"/>
        <w:pageBreakBefore w:val="0"/>
        <w:widowControl/>
        <w:suppressLineNumbers w:val="0"/>
        <w:kinsoku/>
        <w:wordWrap/>
        <w:overflowPunct/>
        <w:topLinePunct w:val="0"/>
        <w:autoSpaceDE/>
        <w:autoSpaceDN/>
        <w:bidi w:val="0"/>
        <w:spacing w:before="302" w:beforeAutospacing="0" w:after="226" w:afterAutospacing="0" w:line="520" w:lineRule="exact"/>
        <w:ind w:left="0" w:right="0" w:firstLine="420"/>
        <w:jc w:val="center"/>
        <w:textAlignment w:val="auto"/>
        <w:rPr>
          <w:rFonts w:hint="eastAsia" w:ascii="微软雅黑" w:hAnsi="微软雅黑" w:eastAsia="微软雅黑" w:cs="微软雅黑"/>
          <w:color w:val="333333"/>
          <w:sz w:val="44"/>
          <w:szCs w:val="44"/>
          <w:highlight w:val="none"/>
          <w:shd w:val="clear" w:fill="FFFFFF"/>
          <w:lang w:val="en-US" w:eastAsia="zh-CN"/>
        </w:rPr>
      </w:pPr>
      <w:r>
        <w:rPr>
          <w:rFonts w:hint="eastAsia" w:ascii="微软雅黑" w:hAnsi="微软雅黑" w:eastAsia="微软雅黑" w:cs="微软雅黑"/>
          <w:color w:val="333333"/>
          <w:sz w:val="44"/>
          <w:szCs w:val="44"/>
          <w:highlight w:val="none"/>
          <w:shd w:val="clear" w:fill="FFFFFF"/>
          <w:lang w:val="en-US" w:eastAsia="zh-CN"/>
        </w:rPr>
        <w:t>报价表</w:t>
      </w:r>
    </w:p>
    <w:tbl>
      <w:tblPr>
        <w:tblStyle w:val="7"/>
        <w:tblW w:w="93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688"/>
        <w:gridCol w:w="4569"/>
        <w:gridCol w:w="573"/>
        <w:gridCol w:w="750"/>
        <w:gridCol w:w="800"/>
        <w:gridCol w:w="787"/>
        <w:gridCol w:w="675"/>
      </w:tblGrid>
      <w:tr w14:paraId="61311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 w:type="dxa"/>
            <w:vAlign w:val="center"/>
          </w:tcPr>
          <w:p w14:paraId="0F5D87B0">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688" w:type="dxa"/>
            <w:vAlign w:val="center"/>
          </w:tcPr>
          <w:p w14:paraId="2F7FC91B">
            <w:pPr>
              <w:pStyle w:val="3"/>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材料</w:t>
            </w:r>
          </w:p>
          <w:p w14:paraId="2BDD59B2">
            <w:pPr>
              <w:pStyle w:val="3"/>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名称</w:t>
            </w:r>
          </w:p>
        </w:tc>
        <w:tc>
          <w:tcPr>
            <w:tcW w:w="4569" w:type="dxa"/>
            <w:vAlign w:val="center"/>
          </w:tcPr>
          <w:p w14:paraId="66F56416">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规格</w:t>
            </w:r>
          </w:p>
        </w:tc>
        <w:tc>
          <w:tcPr>
            <w:tcW w:w="573" w:type="dxa"/>
            <w:vAlign w:val="center"/>
          </w:tcPr>
          <w:p w14:paraId="15375D8A">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单位</w:t>
            </w:r>
          </w:p>
        </w:tc>
        <w:tc>
          <w:tcPr>
            <w:tcW w:w="750" w:type="dxa"/>
            <w:vAlign w:val="center"/>
          </w:tcPr>
          <w:p w14:paraId="6ED2182C">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暂估数量</w:t>
            </w:r>
          </w:p>
        </w:tc>
        <w:tc>
          <w:tcPr>
            <w:tcW w:w="800" w:type="dxa"/>
            <w:vAlign w:val="center"/>
          </w:tcPr>
          <w:p w14:paraId="3E0C67DB">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单价（元）</w:t>
            </w:r>
          </w:p>
        </w:tc>
        <w:tc>
          <w:tcPr>
            <w:tcW w:w="787" w:type="dxa"/>
            <w:vAlign w:val="center"/>
          </w:tcPr>
          <w:p w14:paraId="20BACB9A">
            <w:pPr>
              <w:pStyle w:val="3"/>
              <w:widowControl w:val="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合价（元）</w:t>
            </w:r>
          </w:p>
        </w:tc>
        <w:tc>
          <w:tcPr>
            <w:tcW w:w="675" w:type="dxa"/>
            <w:vAlign w:val="center"/>
          </w:tcPr>
          <w:p w14:paraId="6CBC7C37">
            <w:pPr>
              <w:pStyle w:val="3"/>
              <w:widowControl w:val="0"/>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75F8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 w:type="dxa"/>
            <w:vAlign w:val="center"/>
          </w:tcPr>
          <w:p w14:paraId="42304DB5">
            <w:pPr>
              <w:pStyle w:val="3"/>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688" w:type="dxa"/>
            <w:vAlign w:val="center"/>
          </w:tcPr>
          <w:p w14:paraId="4565E8E7">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立杆式太阳能路灯</w:t>
            </w:r>
          </w:p>
        </w:tc>
        <w:tc>
          <w:tcPr>
            <w:tcW w:w="4569" w:type="dxa"/>
          </w:tcPr>
          <w:p w14:paraId="023CF63A">
            <w:pPr>
              <w:keepNext w:val="0"/>
              <w:keepLines w:val="0"/>
              <w:widowControl/>
              <w:suppressLineNumbers w:val="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1、灯杆：灯杆高</w:t>
            </w:r>
            <w:r>
              <w:rPr>
                <w:rFonts w:hint="eastAsia" w:ascii="宋体" w:hAnsi="宋体" w:eastAsia="宋体" w:cs="宋体"/>
                <w:sz w:val="20"/>
                <w:szCs w:val="20"/>
                <w:highlight w:val="none"/>
                <w:lang w:val="en-US" w:eastAsia="zh-CN"/>
              </w:rPr>
              <w:t>6</w:t>
            </w:r>
            <w:r>
              <w:rPr>
                <w:rFonts w:hint="eastAsia" w:ascii="宋体" w:hAnsi="宋体" w:eastAsia="宋体" w:cs="宋体"/>
                <w:sz w:val="20"/>
                <w:szCs w:val="20"/>
                <w:highlight w:val="none"/>
              </w:rPr>
              <w:t>米，材质为Q235,主杆上口径60mm，下口径1</w:t>
            </w:r>
            <w:r>
              <w:rPr>
                <w:rFonts w:hint="eastAsia" w:ascii="宋体" w:hAnsi="宋体" w:eastAsia="宋体" w:cs="宋体"/>
                <w:sz w:val="20"/>
                <w:szCs w:val="20"/>
                <w:highlight w:val="none"/>
                <w:lang w:val="en-US" w:eastAsia="zh-CN"/>
              </w:rPr>
              <w:t>3</w:t>
            </w:r>
            <w:r>
              <w:rPr>
                <w:rFonts w:hint="eastAsia" w:ascii="宋体" w:hAnsi="宋体" w:eastAsia="宋体" w:cs="宋体"/>
                <w:sz w:val="20"/>
                <w:szCs w:val="20"/>
                <w:highlight w:val="none"/>
              </w:rPr>
              <w:t>0mm，壁厚</w:t>
            </w:r>
            <w:r>
              <w:rPr>
                <w:rFonts w:hint="eastAsia" w:ascii="宋体" w:hAnsi="宋体" w:eastAsia="宋体" w:cs="宋体"/>
                <w:sz w:val="20"/>
                <w:szCs w:val="20"/>
                <w:highlight w:val="none"/>
                <w:lang w:val="en-US" w:eastAsia="zh-CN"/>
              </w:rPr>
              <w:t>3</w:t>
            </w:r>
            <w:r>
              <w:rPr>
                <w:rFonts w:hint="eastAsia" w:ascii="宋体" w:hAnsi="宋体" w:eastAsia="宋体" w:cs="宋体"/>
                <w:sz w:val="20"/>
                <w:szCs w:val="20"/>
                <w:highlight w:val="none"/>
              </w:rPr>
              <w:t>mm。</w:t>
            </w:r>
            <w:r>
              <w:rPr>
                <w:rFonts w:hint="eastAsia" w:ascii="宋体" w:hAnsi="宋体" w:eastAsia="宋体" w:cs="宋体"/>
                <w:snapToGrid w:val="0"/>
                <w:color w:val="000000"/>
                <w:kern w:val="0"/>
                <w:sz w:val="21"/>
                <w:szCs w:val="21"/>
                <w:lang w:val="en-US" w:eastAsia="zh-CN" w:bidi="ar"/>
              </w:rPr>
              <w:t>悬挑灯杆臂长</w:t>
            </w:r>
            <w:r>
              <w:rPr>
                <w:rFonts w:hint="eastAsia" w:ascii="宋体" w:hAnsi="宋体" w:eastAsia="宋体" w:cs="宋体"/>
                <w:sz w:val="20"/>
                <w:szCs w:val="20"/>
                <w:highlight w:val="none"/>
              </w:rPr>
              <w:t>1米。</w:t>
            </w:r>
          </w:p>
          <w:p w14:paraId="55DE1D80">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2、灯头：</w:t>
            </w:r>
          </w:p>
          <w:p w14:paraId="2441703B">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▲光源功率 60W(±1W)。</w:t>
            </w:r>
          </w:p>
          <w:p w14:paraId="6FF06BA4">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▲显色指数＞80。</w:t>
            </w:r>
          </w:p>
          <w:p w14:paraId="00ABB611">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▲色温6500K(±100K)。</w:t>
            </w:r>
          </w:p>
          <w:p w14:paraId="3BB5A33D">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▲灯具尺寸：520*205*95mm。</w:t>
            </w:r>
          </w:p>
          <w:p w14:paraId="2E94B42B">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▲防护等级IP65。</w:t>
            </w:r>
          </w:p>
          <w:p w14:paraId="2ABB140B">
            <w:pPr>
              <w:widowControl w:val="0"/>
              <w:jc w:val="both"/>
              <w:rPr>
                <w:rFonts w:hint="eastAsia" w:ascii="宋体" w:hAnsi="宋体" w:eastAsia="宋体" w:cs="宋体"/>
                <w:sz w:val="20"/>
                <w:szCs w:val="20"/>
                <w:highlight w:val="none"/>
                <w:lang w:eastAsia="zh-CN"/>
              </w:rPr>
            </w:pPr>
            <w:r>
              <w:rPr>
                <w:rFonts w:hint="eastAsia" w:ascii="宋体" w:hAnsi="宋体" w:eastAsia="宋体" w:cs="宋体"/>
                <w:sz w:val="20"/>
                <w:szCs w:val="20"/>
                <w:highlight w:val="none"/>
              </w:rPr>
              <w:t>▲</w:t>
            </w:r>
            <w:r>
              <w:rPr>
                <w:rFonts w:hint="eastAsia" w:ascii="宋体" w:hAnsi="宋体" w:eastAsia="宋体" w:cs="宋体"/>
                <w:sz w:val="20"/>
                <w:szCs w:val="20"/>
                <w:highlight w:val="none"/>
                <w:lang w:val="en-US" w:eastAsia="zh-CN"/>
              </w:rPr>
              <w:t>耐久性试验和热试验：</w:t>
            </w:r>
            <w:r>
              <w:rPr>
                <w:rFonts w:hint="eastAsia" w:ascii="宋体" w:hAnsi="宋体" w:eastAsia="宋体" w:cs="宋体"/>
                <w:sz w:val="20"/>
                <w:szCs w:val="20"/>
                <w:highlight w:val="none"/>
              </w:rPr>
              <w:t>符合 GB7000.203（GB7000.1）</w:t>
            </w:r>
            <w:r>
              <w:rPr>
                <w:rFonts w:hint="eastAsia" w:ascii="宋体" w:hAnsi="宋体" w:eastAsia="宋体" w:cs="宋体"/>
                <w:sz w:val="20"/>
                <w:szCs w:val="20"/>
                <w:highlight w:val="none"/>
                <w:lang w:eastAsia="zh-CN"/>
              </w:rPr>
              <w:t>标准要求。</w:t>
            </w:r>
          </w:p>
          <w:p w14:paraId="5C29AC32">
            <w:pPr>
              <w:keepNext w:val="0"/>
              <w:keepLines w:val="0"/>
              <w:widowControl/>
              <w:suppressLineNumbers w:val="0"/>
              <w:jc w:val="left"/>
              <w:rPr>
                <w:rFonts w:hint="eastAsia"/>
                <w:lang w:eastAsia="zh-CN"/>
              </w:rPr>
            </w:pPr>
            <w:r>
              <w:rPr>
                <w:rFonts w:hint="eastAsia" w:ascii="宋体" w:hAnsi="宋体" w:eastAsia="宋体" w:cs="宋体"/>
                <w:sz w:val="20"/>
                <w:szCs w:val="20"/>
                <w:highlight w:val="none"/>
              </w:rPr>
              <w:t>▲</w:t>
            </w:r>
            <w:r>
              <w:rPr>
                <w:rFonts w:hint="eastAsia" w:ascii="宋体" w:hAnsi="宋体" w:eastAsia="宋体" w:cs="宋体"/>
                <w:snapToGrid w:val="0"/>
                <w:color w:val="000000"/>
                <w:kern w:val="0"/>
                <w:sz w:val="21"/>
                <w:szCs w:val="21"/>
                <w:lang w:val="en-US" w:eastAsia="zh-CN" w:bidi="ar"/>
              </w:rPr>
              <w:t>500小时及以上盐雾检测结果：灯具上无明显腐蚀。</w:t>
            </w:r>
          </w:p>
          <w:p w14:paraId="448442B6">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外壳采用全铝压铸、全密封构、外表光滑，灯具结构设计合理、强度高。平均寿命＞50000小时。光衰＜3%，性能稳定。</w:t>
            </w:r>
          </w:p>
          <w:p w14:paraId="3900C9D3">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3、太阳能光伏板：</w:t>
            </w:r>
          </w:p>
          <w:p w14:paraId="252CCF46">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▲功率100W（±5%内）</w:t>
            </w:r>
          </w:p>
          <w:p w14:paraId="2D997AA3">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多晶硅，转换率＞18%，4时段控制功能。可变功率，有过充过放及防反接功能，平均寿命≥10年。</w:t>
            </w:r>
          </w:p>
          <w:p w14:paraId="58ED972B">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4、太阳能专用锂电池：</w:t>
            </w:r>
          </w:p>
          <w:p w14:paraId="67B8CB26">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▲额定容量50AH（±5%内）。</w:t>
            </w:r>
          </w:p>
          <w:p w14:paraId="7E3EEB02">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灯头内置，寿命≥10年。亮灯时间：12小时。</w:t>
            </w:r>
          </w:p>
          <w:p w14:paraId="02E94D23">
            <w:pPr>
              <w:widowControl w:val="0"/>
              <w:numPr>
                <w:ilvl w:val="0"/>
                <w:numId w:val="1"/>
              </w:numPr>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基础：500*500*800mm（最终以灯具厂家尺寸为准）。</w:t>
            </w:r>
          </w:p>
          <w:p w14:paraId="217DD03F">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6、含灯具内护套线及法兰等</w:t>
            </w:r>
          </w:p>
          <w:p w14:paraId="05BE93D9">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7、做法详见施工图</w:t>
            </w:r>
          </w:p>
          <w:p w14:paraId="586BF624">
            <w:pPr>
              <w:pStyle w:val="3"/>
              <w:widowControl w:val="0"/>
              <w:jc w:val="both"/>
              <w:rPr>
                <w:rFonts w:hint="eastAsia" w:ascii="宋体" w:hAnsi="宋体" w:eastAsia="宋体" w:cs="宋体"/>
                <w:sz w:val="20"/>
                <w:szCs w:val="20"/>
                <w:vertAlign w:val="baseline"/>
                <w:lang w:eastAsia="zh-CN"/>
              </w:rPr>
            </w:pPr>
            <w:r>
              <w:rPr>
                <w:rFonts w:hint="eastAsia" w:ascii="宋体" w:hAnsi="宋体" w:eastAsia="宋体" w:cs="宋体"/>
                <w:sz w:val="20"/>
                <w:szCs w:val="20"/>
                <w:highlight w:val="none"/>
              </w:rPr>
              <w:t>8、含基础及挖填土</w:t>
            </w:r>
          </w:p>
        </w:tc>
        <w:tc>
          <w:tcPr>
            <w:tcW w:w="573" w:type="dxa"/>
            <w:vAlign w:val="center"/>
          </w:tcPr>
          <w:p w14:paraId="3EBB54BB">
            <w:pPr>
              <w:keepNext w:val="0"/>
              <w:keepLines w:val="0"/>
              <w:widowControl/>
              <w:suppressLineNumbers w:val="0"/>
              <w:jc w:val="center"/>
              <w:textAlignment w:val="center"/>
              <w:rPr>
                <w:rFonts w:hint="default" w:ascii="宋体" w:hAnsi="宋体" w:eastAsia="宋体" w:cs="宋体"/>
                <w:sz w:val="20"/>
                <w:szCs w:val="20"/>
                <w:vertAlign w:val="baseline"/>
                <w:lang w:val="en-US" w:eastAsia="zh-CN"/>
              </w:rPr>
            </w:pPr>
            <w:r>
              <w:rPr>
                <w:rFonts w:hint="eastAsia" w:ascii="宋体" w:hAnsi="宋体" w:eastAsia="宋体" w:cs="宋体"/>
                <w:i w:val="0"/>
                <w:iCs w:val="0"/>
                <w:snapToGrid w:val="0"/>
                <w:color w:val="000000"/>
                <w:kern w:val="0"/>
                <w:sz w:val="20"/>
                <w:szCs w:val="20"/>
                <w:u w:val="none"/>
                <w:lang w:val="en-US" w:eastAsia="zh-CN" w:bidi="ar"/>
              </w:rPr>
              <w:t>套</w:t>
            </w:r>
          </w:p>
        </w:tc>
        <w:tc>
          <w:tcPr>
            <w:tcW w:w="750" w:type="dxa"/>
            <w:vAlign w:val="center"/>
          </w:tcPr>
          <w:p w14:paraId="0A75E70D">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67</w:t>
            </w:r>
          </w:p>
        </w:tc>
        <w:tc>
          <w:tcPr>
            <w:tcW w:w="800" w:type="dxa"/>
            <w:vAlign w:val="center"/>
          </w:tcPr>
          <w:p w14:paraId="64989B3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87" w:type="dxa"/>
            <w:vAlign w:val="center"/>
          </w:tcPr>
          <w:p w14:paraId="62AC8E1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675" w:type="dxa"/>
            <w:vAlign w:val="center"/>
          </w:tcPr>
          <w:p w14:paraId="5548849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AA2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 w:type="dxa"/>
            <w:vAlign w:val="center"/>
          </w:tcPr>
          <w:p w14:paraId="772C8765">
            <w:pPr>
              <w:pStyle w:val="3"/>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w:t>
            </w:r>
          </w:p>
        </w:tc>
        <w:tc>
          <w:tcPr>
            <w:tcW w:w="688" w:type="dxa"/>
            <w:vAlign w:val="center"/>
          </w:tcPr>
          <w:p w14:paraId="5147491C">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抱箍式太阳能路灯</w:t>
            </w:r>
          </w:p>
        </w:tc>
        <w:tc>
          <w:tcPr>
            <w:tcW w:w="4569" w:type="dxa"/>
          </w:tcPr>
          <w:p w14:paraId="379F5D6F">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1、灯臂：</w:t>
            </w:r>
            <w:r>
              <w:rPr>
                <w:rFonts w:hint="eastAsia" w:ascii="宋体" w:hAnsi="宋体" w:eastAsia="宋体" w:cs="宋体"/>
                <w:sz w:val="20"/>
                <w:szCs w:val="20"/>
                <w:highlight w:val="none"/>
              </w:rPr>
              <w:t>材质为Q235</w:t>
            </w:r>
            <w:r>
              <w:rPr>
                <w:rFonts w:hint="eastAsia" w:ascii="宋体" w:hAnsi="宋体" w:eastAsia="宋体" w:cs="宋体"/>
                <w:sz w:val="20"/>
                <w:szCs w:val="20"/>
                <w:highlight w:val="none"/>
                <w:lang w:val="en-US" w:eastAsia="zh-CN"/>
              </w:rPr>
              <w:t>,口径为60圆管，壁厚≥2mm，</w:t>
            </w:r>
            <w:r>
              <w:rPr>
                <w:rFonts w:hint="eastAsia" w:ascii="宋体" w:hAnsi="宋体" w:eastAsia="宋体" w:cs="宋体"/>
                <w:snapToGrid w:val="0"/>
                <w:color w:val="000000"/>
                <w:kern w:val="0"/>
                <w:sz w:val="21"/>
                <w:szCs w:val="21"/>
                <w:lang w:val="en-US" w:eastAsia="zh-CN" w:bidi="ar"/>
              </w:rPr>
              <w:t>悬挑灯杆臂长</w:t>
            </w:r>
            <w:r>
              <w:rPr>
                <w:rFonts w:hint="eastAsia" w:ascii="宋体" w:hAnsi="宋体" w:eastAsia="宋体" w:cs="宋体"/>
                <w:sz w:val="20"/>
                <w:szCs w:val="20"/>
                <w:highlight w:val="none"/>
                <w:lang w:val="en-US" w:eastAsia="zh-CN"/>
              </w:rPr>
              <w:t>1m，底部焊接固定底座；整体热镀锌，静电喷塑防腐处理，含太阳能支架、抱箍、配件等。</w:t>
            </w:r>
          </w:p>
          <w:p w14:paraId="166A23DF">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2、灯具：</w:t>
            </w:r>
          </w:p>
          <w:p w14:paraId="2A066071">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▲光源功率 60W(±1W)。 </w:t>
            </w:r>
          </w:p>
          <w:p w14:paraId="3592437C">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▲显色指数＞80。 </w:t>
            </w:r>
          </w:p>
          <w:p w14:paraId="3489EDD1">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▲色温6500K(±100K)。 </w:t>
            </w:r>
          </w:p>
          <w:p w14:paraId="689FDC8F">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▲灯具尺寸：520*205*95mm。 </w:t>
            </w:r>
          </w:p>
          <w:p w14:paraId="3D8BA24F">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▲防护等级IP65。 </w:t>
            </w:r>
          </w:p>
          <w:p w14:paraId="7BB9D6BB">
            <w:pPr>
              <w:widowControl w:val="0"/>
              <w:jc w:val="both"/>
              <w:rPr>
                <w:rFonts w:hint="eastAsia" w:ascii="宋体" w:hAnsi="宋体" w:eastAsia="宋体" w:cs="宋体"/>
                <w:sz w:val="20"/>
                <w:szCs w:val="20"/>
                <w:highlight w:val="none"/>
                <w:lang w:eastAsia="zh-CN"/>
              </w:rPr>
            </w:pPr>
            <w:r>
              <w:rPr>
                <w:rFonts w:hint="eastAsia" w:ascii="宋体" w:hAnsi="宋体" w:eastAsia="宋体" w:cs="宋体"/>
                <w:sz w:val="20"/>
                <w:szCs w:val="20"/>
                <w:highlight w:val="none"/>
                <w:lang w:val="en-US" w:eastAsia="zh-CN"/>
              </w:rPr>
              <w:t>▲耐久性试验和热试验：</w:t>
            </w:r>
            <w:r>
              <w:rPr>
                <w:rFonts w:hint="eastAsia" w:ascii="宋体" w:hAnsi="宋体" w:eastAsia="宋体" w:cs="宋体"/>
                <w:sz w:val="20"/>
                <w:szCs w:val="20"/>
                <w:highlight w:val="none"/>
              </w:rPr>
              <w:t>符合 GB7000.203（GB7000.1）</w:t>
            </w:r>
            <w:r>
              <w:rPr>
                <w:rFonts w:hint="eastAsia" w:ascii="宋体" w:hAnsi="宋体" w:eastAsia="宋体" w:cs="宋体"/>
                <w:sz w:val="20"/>
                <w:szCs w:val="20"/>
                <w:highlight w:val="none"/>
                <w:lang w:eastAsia="zh-CN"/>
              </w:rPr>
              <w:t>标准要求。</w:t>
            </w:r>
          </w:p>
          <w:p w14:paraId="670A6E8D">
            <w:pPr>
              <w:keepNext w:val="0"/>
              <w:keepLines w:val="0"/>
              <w:widowControl/>
              <w:suppressLineNumbers w:val="0"/>
              <w:jc w:val="left"/>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rPr>
              <w:t>▲</w:t>
            </w:r>
            <w:r>
              <w:rPr>
                <w:rFonts w:hint="eastAsia" w:ascii="宋体" w:hAnsi="宋体" w:eastAsia="宋体" w:cs="宋体"/>
                <w:snapToGrid w:val="0"/>
                <w:color w:val="000000"/>
                <w:kern w:val="0"/>
                <w:sz w:val="21"/>
                <w:szCs w:val="21"/>
                <w:lang w:val="en-US" w:eastAsia="zh-CN" w:bidi="ar"/>
              </w:rPr>
              <w:t>500小时及以上盐雾检测结果：灯具上无明显腐蚀。</w:t>
            </w:r>
            <w:r>
              <w:rPr>
                <w:rFonts w:hint="eastAsia" w:ascii="宋体" w:hAnsi="宋体" w:eastAsia="宋体" w:cs="宋体"/>
                <w:sz w:val="20"/>
                <w:szCs w:val="20"/>
                <w:highlight w:val="none"/>
                <w:lang w:val="en-US" w:eastAsia="zh-CN"/>
              </w:rPr>
              <w:t xml:space="preserve"> </w:t>
            </w:r>
          </w:p>
          <w:p w14:paraId="5C4841B4">
            <w:pPr>
              <w:widowControl w:val="0"/>
              <w:jc w:val="both"/>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 xml:space="preserve">外壳采用全铝压铸、全密封构、外表光滑，灯具结构设计合理、强度高。平均寿命＞50000小时。光衰＜3%，性能稳定。 </w:t>
            </w:r>
          </w:p>
          <w:p w14:paraId="11A159A9">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3、太阳能光伏板：</w:t>
            </w:r>
          </w:p>
          <w:p w14:paraId="58610A28">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▲功率100W（±5%内）</w:t>
            </w:r>
          </w:p>
          <w:p w14:paraId="753342B4">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多晶硅，转换率＞18%，4时段控制功能。可变功率，有过充过放及防反接功能，平均寿命≥10年。</w:t>
            </w:r>
          </w:p>
          <w:p w14:paraId="65578886">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4、太阳能专用锂电池：</w:t>
            </w:r>
          </w:p>
          <w:p w14:paraId="0BAFC1CA">
            <w:pPr>
              <w:widowControl w:val="0"/>
              <w:jc w:val="both"/>
              <w:rPr>
                <w:rFonts w:hint="eastAsia" w:ascii="宋体" w:hAnsi="宋体" w:eastAsia="宋体" w:cs="宋体"/>
                <w:sz w:val="20"/>
                <w:szCs w:val="20"/>
                <w:highlight w:val="none"/>
              </w:rPr>
            </w:pPr>
            <w:r>
              <w:rPr>
                <w:rFonts w:hint="eastAsia" w:ascii="宋体" w:hAnsi="宋体" w:eastAsia="宋体" w:cs="宋体"/>
                <w:sz w:val="20"/>
                <w:szCs w:val="20"/>
                <w:highlight w:val="none"/>
              </w:rPr>
              <w:t>▲额定容量50AH（±5%内）。</w:t>
            </w:r>
          </w:p>
          <w:p w14:paraId="6A0E6DC7">
            <w:pPr>
              <w:widowControl w:val="0"/>
              <w:jc w:val="both"/>
              <w:rPr>
                <w:rFonts w:hint="eastAsia" w:ascii="宋体" w:hAnsi="宋体" w:eastAsia="宋体" w:cs="宋体"/>
                <w:sz w:val="20"/>
                <w:szCs w:val="20"/>
                <w:vertAlign w:val="baseline"/>
                <w:lang w:eastAsia="zh-CN"/>
              </w:rPr>
            </w:pPr>
            <w:r>
              <w:rPr>
                <w:rFonts w:hint="eastAsia" w:ascii="宋体" w:hAnsi="宋体" w:eastAsia="宋体" w:cs="宋体"/>
                <w:sz w:val="20"/>
                <w:szCs w:val="20"/>
                <w:highlight w:val="none"/>
              </w:rPr>
              <w:t>灯头内置，寿命≥10年。亮灯时间：12小时。</w:t>
            </w:r>
          </w:p>
        </w:tc>
        <w:tc>
          <w:tcPr>
            <w:tcW w:w="573" w:type="dxa"/>
            <w:vAlign w:val="center"/>
          </w:tcPr>
          <w:p w14:paraId="7630833E">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套</w:t>
            </w:r>
          </w:p>
        </w:tc>
        <w:tc>
          <w:tcPr>
            <w:tcW w:w="750" w:type="dxa"/>
            <w:vAlign w:val="center"/>
          </w:tcPr>
          <w:p w14:paraId="63C567A0">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202</w:t>
            </w:r>
          </w:p>
        </w:tc>
        <w:tc>
          <w:tcPr>
            <w:tcW w:w="800" w:type="dxa"/>
            <w:vAlign w:val="center"/>
          </w:tcPr>
          <w:p w14:paraId="5BCD2F8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87" w:type="dxa"/>
            <w:vAlign w:val="center"/>
          </w:tcPr>
          <w:p w14:paraId="573B285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675" w:type="dxa"/>
            <w:vAlign w:val="center"/>
          </w:tcPr>
          <w:p w14:paraId="7DF33B6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24D6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 w:type="dxa"/>
            <w:vAlign w:val="center"/>
          </w:tcPr>
          <w:p w14:paraId="7DEEC746">
            <w:pPr>
              <w:pStyle w:val="3"/>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3</w:t>
            </w:r>
          </w:p>
        </w:tc>
        <w:tc>
          <w:tcPr>
            <w:tcW w:w="688" w:type="dxa"/>
            <w:vAlign w:val="center"/>
          </w:tcPr>
          <w:p w14:paraId="2136BD03">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原有路灯拆除</w:t>
            </w:r>
          </w:p>
        </w:tc>
        <w:tc>
          <w:tcPr>
            <w:tcW w:w="4569" w:type="dxa"/>
            <w:vAlign w:val="center"/>
          </w:tcPr>
          <w:p w14:paraId="3D53BEF5">
            <w:pPr>
              <w:keepNext w:val="0"/>
              <w:keepLines w:val="0"/>
              <w:widowControl/>
              <w:suppressLineNumbers w:val="0"/>
              <w:jc w:val="left"/>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原有路灯拆除,堆放至业主指定位置,归由业主所有。</w:t>
            </w:r>
          </w:p>
        </w:tc>
        <w:tc>
          <w:tcPr>
            <w:tcW w:w="573" w:type="dxa"/>
            <w:vAlign w:val="center"/>
          </w:tcPr>
          <w:p w14:paraId="6473CC4D">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套</w:t>
            </w:r>
          </w:p>
        </w:tc>
        <w:tc>
          <w:tcPr>
            <w:tcW w:w="750" w:type="dxa"/>
            <w:vAlign w:val="center"/>
          </w:tcPr>
          <w:p w14:paraId="3C80B6BF">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200</w:t>
            </w:r>
          </w:p>
        </w:tc>
        <w:tc>
          <w:tcPr>
            <w:tcW w:w="800" w:type="dxa"/>
            <w:vAlign w:val="center"/>
          </w:tcPr>
          <w:p w14:paraId="0EB0DD5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87" w:type="dxa"/>
            <w:vAlign w:val="center"/>
          </w:tcPr>
          <w:p w14:paraId="2309385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675" w:type="dxa"/>
            <w:vAlign w:val="center"/>
          </w:tcPr>
          <w:p w14:paraId="6F51639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187CE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6" w:type="dxa"/>
            <w:vAlign w:val="center"/>
          </w:tcPr>
          <w:p w14:paraId="0EF08FED">
            <w:pPr>
              <w:pStyle w:val="3"/>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4</w:t>
            </w:r>
          </w:p>
        </w:tc>
        <w:tc>
          <w:tcPr>
            <w:tcW w:w="688" w:type="dxa"/>
            <w:vAlign w:val="center"/>
          </w:tcPr>
          <w:p w14:paraId="04189048">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原有电缆拆除</w:t>
            </w:r>
          </w:p>
        </w:tc>
        <w:tc>
          <w:tcPr>
            <w:tcW w:w="4569" w:type="dxa"/>
            <w:vAlign w:val="center"/>
          </w:tcPr>
          <w:p w14:paraId="4C4F475B">
            <w:pPr>
              <w:keepNext w:val="0"/>
              <w:keepLines w:val="0"/>
              <w:widowControl/>
              <w:suppressLineNumbers w:val="0"/>
              <w:jc w:val="left"/>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原有路灯电缆及附件拆除,堆放至业主指定位置,归由业主所有。</w:t>
            </w:r>
          </w:p>
        </w:tc>
        <w:tc>
          <w:tcPr>
            <w:tcW w:w="573" w:type="dxa"/>
            <w:vAlign w:val="center"/>
          </w:tcPr>
          <w:p w14:paraId="7C4C4FEA">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米</w:t>
            </w:r>
          </w:p>
        </w:tc>
        <w:tc>
          <w:tcPr>
            <w:tcW w:w="750" w:type="dxa"/>
            <w:vAlign w:val="center"/>
          </w:tcPr>
          <w:p w14:paraId="12EA35B5">
            <w:pPr>
              <w:keepNext w:val="0"/>
              <w:keepLines w:val="0"/>
              <w:widowControl/>
              <w:suppressLineNumbers w:val="0"/>
              <w:jc w:val="center"/>
              <w:textAlignment w:val="center"/>
              <w:rPr>
                <w:rFonts w:hint="eastAsia" w:ascii="宋体" w:hAnsi="宋体" w:eastAsia="宋体" w:cs="宋体"/>
                <w:sz w:val="20"/>
                <w:szCs w:val="20"/>
                <w:vertAlign w:val="baseline"/>
                <w:lang w:eastAsia="zh-CN"/>
              </w:rPr>
            </w:pPr>
            <w:r>
              <w:rPr>
                <w:rFonts w:hint="eastAsia" w:ascii="宋体" w:hAnsi="宋体" w:eastAsia="宋体" w:cs="宋体"/>
                <w:i w:val="0"/>
                <w:iCs w:val="0"/>
                <w:snapToGrid w:val="0"/>
                <w:color w:val="000000"/>
                <w:kern w:val="0"/>
                <w:sz w:val="20"/>
                <w:szCs w:val="20"/>
                <w:u w:val="none"/>
                <w:lang w:val="en-US" w:eastAsia="zh-CN" w:bidi="ar"/>
              </w:rPr>
              <w:t>17000</w:t>
            </w:r>
          </w:p>
        </w:tc>
        <w:tc>
          <w:tcPr>
            <w:tcW w:w="800" w:type="dxa"/>
            <w:vAlign w:val="center"/>
          </w:tcPr>
          <w:p w14:paraId="727BB68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87" w:type="dxa"/>
            <w:vAlign w:val="center"/>
          </w:tcPr>
          <w:p w14:paraId="2B63A4E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675" w:type="dxa"/>
            <w:vAlign w:val="center"/>
          </w:tcPr>
          <w:p w14:paraId="567AB88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05A5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48" w:type="dxa"/>
            <w:gridSpan w:val="8"/>
            <w:vAlign w:val="center"/>
          </w:tcPr>
          <w:p w14:paraId="2CAB9112">
            <w:pPr>
              <w:keepNext w:val="0"/>
              <w:keepLines w:val="0"/>
              <w:widowControl/>
              <w:suppressLineNumbers w:val="0"/>
              <w:jc w:val="left"/>
              <w:textAlignment w:val="center"/>
              <w:rPr>
                <w:rFonts w:hint="eastAsia" w:ascii="宋体" w:hAnsi="宋体" w:eastAsia="宋体" w:cs="宋体"/>
                <w:i w:val="0"/>
                <w:iCs w:val="0"/>
                <w:snapToGrid w:val="0"/>
                <w:color w:val="000000"/>
                <w:kern w:val="0"/>
                <w:sz w:val="24"/>
                <w:szCs w:val="24"/>
                <w:u w:val="none"/>
                <w:lang w:val="en-US" w:eastAsia="zh-CN" w:bidi="ar"/>
              </w:rPr>
            </w:pPr>
            <w:r>
              <w:rPr>
                <w:rFonts w:hint="eastAsia" w:ascii="宋体" w:hAnsi="宋体" w:eastAsia="宋体" w:cs="宋体"/>
                <w:i w:val="0"/>
                <w:iCs w:val="0"/>
                <w:snapToGrid w:val="0"/>
                <w:color w:val="000000"/>
                <w:kern w:val="0"/>
                <w:sz w:val="24"/>
                <w:szCs w:val="24"/>
                <w:u w:val="none"/>
                <w:lang w:val="en-US" w:eastAsia="zh-CN" w:bidi="ar"/>
              </w:rPr>
              <w:t>备注：1、</w:t>
            </w:r>
            <w:r>
              <w:rPr>
                <w:rFonts w:hint="eastAsia" w:ascii="宋体" w:hAnsi="宋体" w:eastAsia="宋体" w:cs="宋体"/>
                <w:b w:val="0"/>
                <w:bCs w:val="0"/>
                <w:i w:val="0"/>
                <w:iCs w:val="0"/>
                <w:color w:val="auto"/>
                <w:sz w:val="24"/>
                <w:szCs w:val="24"/>
                <w:highlight w:val="none"/>
                <w:u w:val="none"/>
                <w:lang w:val="en-US" w:eastAsia="zh-CN"/>
              </w:rPr>
              <w:t>上述带“▲”为主要规格参数，投标时须提供国家电光源质量监督检验中心或国家电光源质量检验检测中心出具的样品灯具，国家光伏产品质量检验检测中心出具的样品锂电池、光伏板产品检测报告复印件并加盖投标单位公章【检测报告的封面必须带有 CMA及 CNAS 标志、有电子版报告的二维码、内页附有样品照片及外形尺寸】，且报告中参数指标涵盖“▲”采购要求。</w:t>
            </w:r>
          </w:p>
          <w:p w14:paraId="35A910AC">
            <w:pPr>
              <w:keepNext w:val="0"/>
              <w:keepLines w:val="0"/>
              <w:widowControl/>
              <w:numPr>
                <w:ilvl w:val="0"/>
                <w:numId w:val="0"/>
              </w:numPr>
              <w:suppressLineNumbers w:val="0"/>
              <w:jc w:val="left"/>
              <w:textAlignment w:val="center"/>
              <w:rPr>
                <w:rFonts w:hint="eastAsia" w:ascii="宋体" w:hAnsi="宋体" w:eastAsia="宋体" w:cs="宋体"/>
                <w:b w:val="0"/>
                <w:bCs w:val="0"/>
                <w:i w:val="0"/>
                <w:iCs w:val="0"/>
                <w:color w:val="auto"/>
                <w:sz w:val="24"/>
                <w:szCs w:val="24"/>
                <w:highlight w:val="none"/>
                <w:u w:val="none"/>
                <w:lang w:val="en-US" w:eastAsia="zh-CN"/>
              </w:rPr>
            </w:pPr>
            <w:r>
              <w:rPr>
                <w:rFonts w:hint="eastAsia" w:ascii="宋体" w:hAnsi="宋体" w:eastAsia="宋体" w:cs="宋体"/>
                <w:b w:val="0"/>
                <w:bCs w:val="0"/>
                <w:i w:val="0"/>
                <w:iCs w:val="0"/>
                <w:color w:val="auto"/>
                <w:sz w:val="24"/>
                <w:szCs w:val="24"/>
                <w:highlight w:val="none"/>
                <w:u w:val="none"/>
                <w:lang w:val="en-US" w:eastAsia="zh-CN"/>
              </w:rPr>
              <w:t>2、以上太阳能路灯的数量为暂定，实际安装数量以采购单位的实际需求为准，按实结算。</w:t>
            </w:r>
          </w:p>
          <w:p w14:paraId="504B4E96">
            <w:pPr>
              <w:keepNext w:val="0"/>
              <w:keepLines w:val="0"/>
              <w:widowControl/>
              <w:numPr>
                <w:ilvl w:val="0"/>
                <w:numId w:val="0"/>
              </w:numPr>
              <w:suppressLineNumbers w:val="0"/>
              <w:jc w:val="left"/>
              <w:textAlignment w:val="center"/>
              <w:rPr>
                <w:rFonts w:hint="eastAsia" w:ascii="宋体" w:hAnsi="宋体" w:eastAsia="宋体" w:cs="宋体"/>
                <w:strike/>
                <w:dstrike w:val="0"/>
                <w:sz w:val="24"/>
              </w:rPr>
            </w:pPr>
            <w:r>
              <w:rPr>
                <w:rFonts w:hint="eastAsia" w:ascii="宋体" w:hAnsi="宋体" w:eastAsia="宋体" w:cs="宋体"/>
                <w:sz w:val="24"/>
                <w:lang w:val="en-US" w:eastAsia="zh-CN"/>
              </w:rPr>
              <w:t>3</w:t>
            </w:r>
            <w:r>
              <w:rPr>
                <w:rFonts w:hint="eastAsia" w:ascii="宋体" w:hAnsi="宋体" w:eastAsia="宋体" w:cs="宋体"/>
                <w:sz w:val="24"/>
              </w:rPr>
              <w:t>、请供应商实地考察现场，综合考虑各种因素后报价。</w:t>
            </w:r>
          </w:p>
          <w:p w14:paraId="10823E71">
            <w:pPr>
              <w:jc w:val="left"/>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 xml:space="preserve">、采购标准要求以采购要求、相关国家标准为准，在标准和采购要求不一致时，按要求高的标准执行。 </w:t>
            </w:r>
          </w:p>
          <w:p w14:paraId="378D9D65">
            <w:pPr>
              <w:jc w:val="left"/>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、成交供应商提供的所有货物都必须为全新的原厂正品，不接受翻新产品，一经查实，取消成交资格，并列入采购人的采购黑名单，同时对成交供应商及负责人追究相关法律责任。</w:t>
            </w:r>
          </w:p>
          <w:p w14:paraId="4903EFC9">
            <w:pPr>
              <w:jc w:val="left"/>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成交供应商提供的所有货物及包装、标签、标识都应符合国家相关规定要求，且须在采购人指定地点和规定时间内将货物运送至指定地点完成安装并调试至最佳使用状态，运输、装卸、堆放、安装货物时需考虑货物的结构、承重等，不得因装卸、堆放、安装不当等发生货物被压变形或损坏等情况的发生，如发生货物变形或损坏，由成交供应商提供免费换货并免费运送至指定地点完成安装、调试，必须确保路灯可以正常进行使用。</w:t>
            </w:r>
          </w:p>
          <w:p w14:paraId="127811CF">
            <w:pPr>
              <w:jc w:val="left"/>
              <w:rPr>
                <w:rFonts w:hint="eastAsia"/>
                <w:lang w:val="en-US" w:eastAsia="zh-CN"/>
              </w:rPr>
            </w:pPr>
            <w:r>
              <w:rPr>
                <w:rFonts w:hint="eastAsia" w:ascii="宋体" w:hAnsi="宋体" w:eastAsia="宋体" w:cs="宋体"/>
                <w:sz w:val="24"/>
                <w:lang w:val="en-US" w:eastAsia="zh-CN"/>
              </w:rPr>
              <w:t>7</w:t>
            </w:r>
            <w:r>
              <w:rPr>
                <w:rFonts w:hint="eastAsia" w:ascii="宋体" w:hAnsi="宋体" w:eastAsia="宋体" w:cs="宋体"/>
                <w:sz w:val="24"/>
              </w:rPr>
              <w:t>、供应商须在报价表上明确所投产品的品牌及型号，否则视为无效响应。</w:t>
            </w:r>
          </w:p>
        </w:tc>
      </w:tr>
    </w:tbl>
    <w:p w14:paraId="426F4397">
      <w:pPr>
        <w:pStyle w:val="3"/>
        <w:rPr>
          <w:rFonts w:hint="eastAsia"/>
          <w:lang w:eastAsia="zh-CN"/>
        </w:rPr>
      </w:pPr>
    </w:p>
    <w:p w14:paraId="3DA479AE">
      <w:pPr>
        <w:pStyle w:val="3"/>
        <w:rPr>
          <w:rFonts w:hint="eastAsia"/>
          <w:sz w:val="28"/>
          <w:szCs w:val="28"/>
          <w:lang w:eastAsia="zh-CN"/>
        </w:rPr>
      </w:pPr>
      <w:r>
        <w:rPr>
          <w:rFonts w:hint="eastAsia"/>
          <w:sz w:val="28"/>
          <w:szCs w:val="28"/>
          <w:lang w:eastAsia="zh-CN"/>
        </w:rPr>
        <w:t>报价单位：</w:t>
      </w:r>
    </w:p>
    <w:p w14:paraId="1A653334">
      <w:pPr>
        <w:rPr>
          <w:rFonts w:hint="eastAsia"/>
          <w:sz w:val="28"/>
          <w:szCs w:val="28"/>
          <w:lang w:eastAsia="zh-CN"/>
        </w:rPr>
      </w:pPr>
      <w:r>
        <w:rPr>
          <w:rFonts w:hint="eastAsia"/>
          <w:sz w:val="28"/>
          <w:szCs w:val="28"/>
          <w:lang w:eastAsia="zh-CN"/>
        </w:rPr>
        <w:t>负责人：</w:t>
      </w:r>
    </w:p>
    <w:p w14:paraId="098FFF5C">
      <w:pPr>
        <w:pStyle w:val="3"/>
        <w:rPr>
          <w:rFonts w:hint="eastAsia" w:ascii="微软雅黑" w:hAnsi="微软雅黑" w:eastAsia="微软雅黑" w:cs="微软雅黑"/>
          <w:color w:val="333333"/>
          <w:sz w:val="24"/>
          <w:szCs w:val="24"/>
          <w:highlight w:val="none"/>
          <w:shd w:val="clear" w:fill="FFFFFF"/>
        </w:rPr>
      </w:pPr>
      <w:r>
        <w:rPr>
          <w:rFonts w:hint="eastAsia"/>
          <w:sz w:val="28"/>
          <w:szCs w:val="28"/>
          <w:lang w:eastAsia="zh-CN"/>
        </w:rPr>
        <w:t>日期：</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3ECB7"/>
    <w:multiLevelType w:val="singleLevel"/>
    <w:tmpl w:val="E5C3ECB7"/>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czYTJiM2U0ODQ0ZTk0N2I0ZjE0NzYwMDU3YzEifQ=="/>
  </w:docVars>
  <w:rsids>
    <w:rsidRoot w:val="23B708F1"/>
    <w:rsid w:val="00577718"/>
    <w:rsid w:val="0062400A"/>
    <w:rsid w:val="008C6C96"/>
    <w:rsid w:val="00AB35C0"/>
    <w:rsid w:val="00B46918"/>
    <w:rsid w:val="00FE5DE6"/>
    <w:rsid w:val="010B22B0"/>
    <w:rsid w:val="01172A03"/>
    <w:rsid w:val="01227D26"/>
    <w:rsid w:val="01253372"/>
    <w:rsid w:val="013712F7"/>
    <w:rsid w:val="013C06BC"/>
    <w:rsid w:val="014F4893"/>
    <w:rsid w:val="015123B9"/>
    <w:rsid w:val="015402DD"/>
    <w:rsid w:val="01A7647D"/>
    <w:rsid w:val="02094A42"/>
    <w:rsid w:val="023A4BFB"/>
    <w:rsid w:val="0264611C"/>
    <w:rsid w:val="02B04EBD"/>
    <w:rsid w:val="030B47EA"/>
    <w:rsid w:val="03771E7F"/>
    <w:rsid w:val="03A10CAA"/>
    <w:rsid w:val="03B351E8"/>
    <w:rsid w:val="03FE7EAB"/>
    <w:rsid w:val="04DD5D12"/>
    <w:rsid w:val="05512AE0"/>
    <w:rsid w:val="057743B8"/>
    <w:rsid w:val="05A76A4C"/>
    <w:rsid w:val="062F07EF"/>
    <w:rsid w:val="06367DD0"/>
    <w:rsid w:val="06744775"/>
    <w:rsid w:val="068428E9"/>
    <w:rsid w:val="070677A2"/>
    <w:rsid w:val="07177C01"/>
    <w:rsid w:val="07187A76"/>
    <w:rsid w:val="07B70A9C"/>
    <w:rsid w:val="07C17B6D"/>
    <w:rsid w:val="07F4584C"/>
    <w:rsid w:val="081E7ACB"/>
    <w:rsid w:val="083640B7"/>
    <w:rsid w:val="0868494A"/>
    <w:rsid w:val="086A5B0F"/>
    <w:rsid w:val="08C2594B"/>
    <w:rsid w:val="08E91129"/>
    <w:rsid w:val="08EC29C7"/>
    <w:rsid w:val="08FB2C0B"/>
    <w:rsid w:val="091A588B"/>
    <w:rsid w:val="09202B8C"/>
    <w:rsid w:val="096D3B08"/>
    <w:rsid w:val="098A290C"/>
    <w:rsid w:val="09954E0D"/>
    <w:rsid w:val="0A4505E1"/>
    <w:rsid w:val="0A917CCA"/>
    <w:rsid w:val="0AAF0151"/>
    <w:rsid w:val="0ABD286D"/>
    <w:rsid w:val="0B470389"/>
    <w:rsid w:val="0B6323DA"/>
    <w:rsid w:val="0B6727D9"/>
    <w:rsid w:val="0B7A69B0"/>
    <w:rsid w:val="0BA15CEB"/>
    <w:rsid w:val="0BCA5242"/>
    <w:rsid w:val="0BCB2D68"/>
    <w:rsid w:val="0BF027CF"/>
    <w:rsid w:val="0C41621C"/>
    <w:rsid w:val="0C436DA2"/>
    <w:rsid w:val="0CC25F19"/>
    <w:rsid w:val="0CC31C91"/>
    <w:rsid w:val="0CE57E5A"/>
    <w:rsid w:val="0D4252AC"/>
    <w:rsid w:val="0D505C1B"/>
    <w:rsid w:val="0DA90E87"/>
    <w:rsid w:val="0DED5218"/>
    <w:rsid w:val="0EBB70C4"/>
    <w:rsid w:val="0EEA1757"/>
    <w:rsid w:val="0EEC54CF"/>
    <w:rsid w:val="0F0F5662"/>
    <w:rsid w:val="0F380715"/>
    <w:rsid w:val="0F664178"/>
    <w:rsid w:val="0F696B20"/>
    <w:rsid w:val="0FA61B22"/>
    <w:rsid w:val="0FCE1079"/>
    <w:rsid w:val="0FD7617F"/>
    <w:rsid w:val="10523A58"/>
    <w:rsid w:val="10A36062"/>
    <w:rsid w:val="10BE31E2"/>
    <w:rsid w:val="1109680C"/>
    <w:rsid w:val="11625F1D"/>
    <w:rsid w:val="118B7221"/>
    <w:rsid w:val="118E6D12"/>
    <w:rsid w:val="119A3908"/>
    <w:rsid w:val="11AE2F10"/>
    <w:rsid w:val="121D3BF2"/>
    <w:rsid w:val="12353631"/>
    <w:rsid w:val="124F64A1"/>
    <w:rsid w:val="12751C80"/>
    <w:rsid w:val="12883761"/>
    <w:rsid w:val="128F2D41"/>
    <w:rsid w:val="12CC7AF2"/>
    <w:rsid w:val="12F33679"/>
    <w:rsid w:val="12F40DF6"/>
    <w:rsid w:val="130A23C8"/>
    <w:rsid w:val="138A3509"/>
    <w:rsid w:val="13BB1914"/>
    <w:rsid w:val="13C54541"/>
    <w:rsid w:val="13D36C5E"/>
    <w:rsid w:val="14276FAA"/>
    <w:rsid w:val="146B158C"/>
    <w:rsid w:val="147541B9"/>
    <w:rsid w:val="14887A48"/>
    <w:rsid w:val="14A34882"/>
    <w:rsid w:val="14EF1875"/>
    <w:rsid w:val="150317C5"/>
    <w:rsid w:val="154222ED"/>
    <w:rsid w:val="15657D89"/>
    <w:rsid w:val="15BC7FB2"/>
    <w:rsid w:val="16161084"/>
    <w:rsid w:val="16556050"/>
    <w:rsid w:val="16B9038D"/>
    <w:rsid w:val="16F9385C"/>
    <w:rsid w:val="17035AAC"/>
    <w:rsid w:val="173E4D36"/>
    <w:rsid w:val="17822E75"/>
    <w:rsid w:val="17B40B54"/>
    <w:rsid w:val="17BE19D3"/>
    <w:rsid w:val="17EC02EE"/>
    <w:rsid w:val="17F36C18"/>
    <w:rsid w:val="17FD48B5"/>
    <w:rsid w:val="18581E27"/>
    <w:rsid w:val="19327BDC"/>
    <w:rsid w:val="196B7938"/>
    <w:rsid w:val="19720CC7"/>
    <w:rsid w:val="198F3627"/>
    <w:rsid w:val="19E73463"/>
    <w:rsid w:val="1AD02149"/>
    <w:rsid w:val="1AF35E37"/>
    <w:rsid w:val="1B097409"/>
    <w:rsid w:val="1B46065D"/>
    <w:rsid w:val="1B9E3FF5"/>
    <w:rsid w:val="1BB455C7"/>
    <w:rsid w:val="1C1147C7"/>
    <w:rsid w:val="1C3109C5"/>
    <w:rsid w:val="1C3D380E"/>
    <w:rsid w:val="1C4F52EF"/>
    <w:rsid w:val="1CAD0994"/>
    <w:rsid w:val="1CB33AD0"/>
    <w:rsid w:val="1CB6747D"/>
    <w:rsid w:val="1D5A0B44"/>
    <w:rsid w:val="1DFB74DD"/>
    <w:rsid w:val="1E82375A"/>
    <w:rsid w:val="1E8A0861"/>
    <w:rsid w:val="1F42113B"/>
    <w:rsid w:val="1FB45B95"/>
    <w:rsid w:val="1FDE70B6"/>
    <w:rsid w:val="1FF00B97"/>
    <w:rsid w:val="20390790"/>
    <w:rsid w:val="20601702"/>
    <w:rsid w:val="20607ACB"/>
    <w:rsid w:val="20745325"/>
    <w:rsid w:val="208B38FC"/>
    <w:rsid w:val="20AC6BE1"/>
    <w:rsid w:val="20CF69FF"/>
    <w:rsid w:val="20DF4E94"/>
    <w:rsid w:val="20E34258"/>
    <w:rsid w:val="20FD17BE"/>
    <w:rsid w:val="210F3B2C"/>
    <w:rsid w:val="21134B3E"/>
    <w:rsid w:val="212136FE"/>
    <w:rsid w:val="21494A03"/>
    <w:rsid w:val="214B42D7"/>
    <w:rsid w:val="21567F77"/>
    <w:rsid w:val="21721D47"/>
    <w:rsid w:val="22192627"/>
    <w:rsid w:val="22237002"/>
    <w:rsid w:val="222F188C"/>
    <w:rsid w:val="224A27E1"/>
    <w:rsid w:val="22A2261D"/>
    <w:rsid w:val="22F8048F"/>
    <w:rsid w:val="23580F2E"/>
    <w:rsid w:val="23621DAC"/>
    <w:rsid w:val="237A0EA4"/>
    <w:rsid w:val="23A3664D"/>
    <w:rsid w:val="23B708F1"/>
    <w:rsid w:val="23FF75FB"/>
    <w:rsid w:val="240370EB"/>
    <w:rsid w:val="244D60C9"/>
    <w:rsid w:val="245C4A4D"/>
    <w:rsid w:val="2472601F"/>
    <w:rsid w:val="248F097F"/>
    <w:rsid w:val="24AA3A0B"/>
    <w:rsid w:val="24CA7C09"/>
    <w:rsid w:val="25B6018D"/>
    <w:rsid w:val="25C74149"/>
    <w:rsid w:val="25D23219"/>
    <w:rsid w:val="25F56F08"/>
    <w:rsid w:val="26127ABA"/>
    <w:rsid w:val="26355556"/>
    <w:rsid w:val="26396DF4"/>
    <w:rsid w:val="2650413E"/>
    <w:rsid w:val="265A320F"/>
    <w:rsid w:val="26753BA5"/>
    <w:rsid w:val="26AD77E2"/>
    <w:rsid w:val="26E825C8"/>
    <w:rsid w:val="26F61189"/>
    <w:rsid w:val="27007351"/>
    <w:rsid w:val="274912B9"/>
    <w:rsid w:val="276205CD"/>
    <w:rsid w:val="277D0F63"/>
    <w:rsid w:val="279009E7"/>
    <w:rsid w:val="287A0A76"/>
    <w:rsid w:val="289A78F2"/>
    <w:rsid w:val="28A30E9D"/>
    <w:rsid w:val="28DE0127"/>
    <w:rsid w:val="294D6DB1"/>
    <w:rsid w:val="297E6FF1"/>
    <w:rsid w:val="29BA46F0"/>
    <w:rsid w:val="29E928DF"/>
    <w:rsid w:val="29FE4E85"/>
    <w:rsid w:val="29FF65A7"/>
    <w:rsid w:val="2A133E00"/>
    <w:rsid w:val="2A2878AC"/>
    <w:rsid w:val="2A333AC3"/>
    <w:rsid w:val="2A9071FF"/>
    <w:rsid w:val="2A994305"/>
    <w:rsid w:val="2AB70C30"/>
    <w:rsid w:val="2AEB2687"/>
    <w:rsid w:val="2AF4778E"/>
    <w:rsid w:val="2B5B5A5F"/>
    <w:rsid w:val="2BA967CA"/>
    <w:rsid w:val="2BBE1B4A"/>
    <w:rsid w:val="2BE23A8A"/>
    <w:rsid w:val="2C011FF9"/>
    <w:rsid w:val="2C071743"/>
    <w:rsid w:val="2C0B2FE1"/>
    <w:rsid w:val="2C7F752B"/>
    <w:rsid w:val="2C8132A3"/>
    <w:rsid w:val="2CC94C4A"/>
    <w:rsid w:val="2CF37669"/>
    <w:rsid w:val="2D2F2CFF"/>
    <w:rsid w:val="2D4A5D8B"/>
    <w:rsid w:val="2D4F6EFD"/>
    <w:rsid w:val="2D687FBF"/>
    <w:rsid w:val="2DBE4083"/>
    <w:rsid w:val="2E187C37"/>
    <w:rsid w:val="2E505623"/>
    <w:rsid w:val="2E5C3FC8"/>
    <w:rsid w:val="2EB55486"/>
    <w:rsid w:val="2EDC2A13"/>
    <w:rsid w:val="2F0B779C"/>
    <w:rsid w:val="2F432A92"/>
    <w:rsid w:val="2F4B7B98"/>
    <w:rsid w:val="2F6F6AD1"/>
    <w:rsid w:val="2F8530AA"/>
    <w:rsid w:val="2FC71915"/>
    <w:rsid w:val="2FCD4A51"/>
    <w:rsid w:val="2FF40230"/>
    <w:rsid w:val="30004E27"/>
    <w:rsid w:val="302F1268"/>
    <w:rsid w:val="30336FAA"/>
    <w:rsid w:val="305F7D9F"/>
    <w:rsid w:val="30850E88"/>
    <w:rsid w:val="30DD0CC4"/>
    <w:rsid w:val="30E107B4"/>
    <w:rsid w:val="30FD3114"/>
    <w:rsid w:val="313756BA"/>
    <w:rsid w:val="318D6246"/>
    <w:rsid w:val="31EA3699"/>
    <w:rsid w:val="31F42769"/>
    <w:rsid w:val="32851613"/>
    <w:rsid w:val="329A2D74"/>
    <w:rsid w:val="32A63A63"/>
    <w:rsid w:val="32C0264B"/>
    <w:rsid w:val="32C16706"/>
    <w:rsid w:val="32C65EB4"/>
    <w:rsid w:val="32DD31FD"/>
    <w:rsid w:val="331D184C"/>
    <w:rsid w:val="33240E2C"/>
    <w:rsid w:val="333948D8"/>
    <w:rsid w:val="334E7C57"/>
    <w:rsid w:val="3353526D"/>
    <w:rsid w:val="336E3E55"/>
    <w:rsid w:val="339A4C4A"/>
    <w:rsid w:val="33AB50A9"/>
    <w:rsid w:val="33FE342B"/>
    <w:rsid w:val="34233047"/>
    <w:rsid w:val="345D63A4"/>
    <w:rsid w:val="34D4418C"/>
    <w:rsid w:val="34E15227"/>
    <w:rsid w:val="34ED4261"/>
    <w:rsid w:val="34F324BF"/>
    <w:rsid w:val="351153E0"/>
    <w:rsid w:val="35441312"/>
    <w:rsid w:val="3566572C"/>
    <w:rsid w:val="35BC359E"/>
    <w:rsid w:val="35FC7E3E"/>
    <w:rsid w:val="365437D6"/>
    <w:rsid w:val="36835E6A"/>
    <w:rsid w:val="3687595A"/>
    <w:rsid w:val="36AF6C5F"/>
    <w:rsid w:val="36BB13AE"/>
    <w:rsid w:val="36E118B7"/>
    <w:rsid w:val="36EF52AD"/>
    <w:rsid w:val="377203B8"/>
    <w:rsid w:val="37922808"/>
    <w:rsid w:val="37C52BDE"/>
    <w:rsid w:val="37D50947"/>
    <w:rsid w:val="37EB016A"/>
    <w:rsid w:val="37FC2378"/>
    <w:rsid w:val="381C47C8"/>
    <w:rsid w:val="38A071A7"/>
    <w:rsid w:val="39227BBC"/>
    <w:rsid w:val="393578EF"/>
    <w:rsid w:val="39981C2C"/>
    <w:rsid w:val="39DC5FBD"/>
    <w:rsid w:val="39E11825"/>
    <w:rsid w:val="39FC21BB"/>
    <w:rsid w:val="39FD5F33"/>
    <w:rsid w:val="3A255BB6"/>
    <w:rsid w:val="3A976388"/>
    <w:rsid w:val="3AA06FEA"/>
    <w:rsid w:val="3AE113B1"/>
    <w:rsid w:val="3B183024"/>
    <w:rsid w:val="3B23511E"/>
    <w:rsid w:val="3B560EAA"/>
    <w:rsid w:val="3B82403A"/>
    <w:rsid w:val="3BFF2436"/>
    <w:rsid w:val="3C2974B3"/>
    <w:rsid w:val="3C5A58BF"/>
    <w:rsid w:val="3C793F97"/>
    <w:rsid w:val="3C9E57AB"/>
    <w:rsid w:val="3CAC611A"/>
    <w:rsid w:val="3CCB40C7"/>
    <w:rsid w:val="3CDE029E"/>
    <w:rsid w:val="3D344362"/>
    <w:rsid w:val="3D673DEF"/>
    <w:rsid w:val="3E131B7D"/>
    <w:rsid w:val="3E155F41"/>
    <w:rsid w:val="3E952BDE"/>
    <w:rsid w:val="3EA370A9"/>
    <w:rsid w:val="3ECF4342"/>
    <w:rsid w:val="3F01224D"/>
    <w:rsid w:val="3F235055"/>
    <w:rsid w:val="3F4A1C1A"/>
    <w:rsid w:val="3F724CCD"/>
    <w:rsid w:val="3F8844F1"/>
    <w:rsid w:val="3FA07A8C"/>
    <w:rsid w:val="3FB928FC"/>
    <w:rsid w:val="3FCC0B73"/>
    <w:rsid w:val="3FD51EB4"/>
    <w:rsid w:val="3FF676AC"/>
    <w:rsid w:val="40251D40"/>
    <w:rsid w:val="40302BBE"/>
    <w:rsid w:val="404B5C4A"/>
    <w:rsid w:val="407A208B"/>
    <w:rsid w:val="40833636"/>
    <w:rsid w:val="411D397A"/>
    <w:rsid w:val="41270465"/>
    <w:rsid w:val="413466DE"/>
    <w:rsid w:val="41390199"/>
    <w:rsid w:val="41596145"/>
    <w:rsid w:val="415B1EBD"/>
    <w:rsid w:val="417944F1"/>
    <w:rsid w:val="41B25855"/>
    <w:rsid w:val="41D91034"/>
    <w:rsid w:val="41DD0B24"/>
    <w:rsid w:val="41DD7C7C"/>
    <w:rsid w:val="422C3859"/>
    <w:rsid w:val="42312C1E"/>
    <w:rsid w:val="425D3A13"/>
    <w:rsid w:val="42664FBD"/>
    <w:rsid w:val="428B4A24"/>
    <w:rsid w:val="42ED4D97"/>
    <w:rsid w:val="433867EA"/>
    <w:rsid w:val="43AD2778"/>
    <w:rsid w:val="43C024AB"/>
    <w:rsid w:val="43D146B8"/>
    <w:rsid w:val="43DB5537"/>
    <w:rsid w:val="440E059E"/>
    <w:rsid w:val="44185E43"/>
    <w:rsid w:val="441F5424"/>
    <w:rsid w:val="44246EDE"/>
    <w:rsid w:val="447B447F"/>
    <w:rsid w:val="447B63D2"/>
    <w:rsid w:val="44A616A1"/>
    <w:rsid w:val="44A91191"/>
    <w:rsid w:val="44CD74BC"/>
    <w:rsid w:val="45246A6A"/>
    <w:rsid w:val="45DD7344"/>
    <w:rsid w:val="45FC3543"/>
    <w:rsid w:val="46470C62"/>
    <w:rsid w:val="46804174"/>
    <w:rsid w:val="46902609"/>
    <w:rsid w:val="469F0A9E"/>
    <w:rsid w:val="46AE6F33"/>
    <w:rsid w:val="46C73B51"/>
    <w:rsid w:val="47794E4B"/>
    <w:rsid w:val="477A6E15"/>
    <w:rsid w:val="4780267D"/>
    <w:rsid w:val="47863A0C"/>
    <w:rsid w:val="479559FD"/>
    <w:rsid w:val="47A65E5C"/>
    <w:rsid w:val="47DE55F6"/>
    <w:rsid w:val="48027536"/>
    <w:rsid w:val="48141018"/>
    <w:rsid w:val="487B1097"/>
    <w:rsid w:val="487B4BF3"/>
    <w:rsid w:val="48A979B2"/>
    <w:rsid w:val="48E44E8E"/>
    <w:rsid w:val="48E72288"/>
    <w:rsid w:val="48F454D0"/>
    <w:rsid w:val="49A77F99"/>
    <w:rsid w:val="49B93C25"/>
    <w:rsid w:val="49C66341"/>
    <w:rsid w:val="49CD147E"/>
    <w:rsid w:val="49E05655"/>
    <w:rsid w:val="49E54A1A"/>
    <w:rsid w:val="49E95E93"/>
    <w:rsid w:val="4A2117CA"/>
    <w:rsid w:val="4A62606A"/>
    <w:rsid w:val="4A9B157C"/>
    <w:rsid w:val="4AAE5753"/>
    <w:rsid w:val="4B182BCD"/>
    <w:rsid w:val="4B3B68BB"/>
    <w:rsid w:val="4BA40904"/>
    <w:rsid w:val="4BAB1C93"/>
    <w:rsid w:val="4C2061DD"/>
    <w:rsid w:val="4C9D352E"/>
    <w:rsid w:val="4CA010CC"/>
    <w:rsid w:val="4CA07F36"/>
    <w:rsid w:val="4CBD7ED0"/>
    <w:rsid w:val="4CFB09F8"/>
    <w:rsid w:val="4D700A9E"/>
    <w:rsid w:val="4D8B58D8"/>
    <w:rsid w:val="4D9B0BD6"/>
    <w:rsid w:val="4DA62712"/>
    <w:rsid w:val="4DFE42FC"/>
    <w:rsid w:val="4E37044E"/>
    <w:rsid w:val="4E5972A6"/>
    <w:rsid w:val="4E5C7274"/>
    <w:rsid w:val="4E6F0D56"/>
    <w:rsid w:val="4E8F31A6"/>
    <w:rsid w:val="4ED908C5"/>
    <w:rsid w:val="4F0F42E7"/>
    <w:rsid w:val="4F10078B"/>
    <w:rsid w:val="4F595773"/>
    <w:rsid w:val="4F894099"/>
    <w:rsid w:val="4FBA154E"/>
    <w:rsid w:val="4FCE41A2"/>
    <w:rsid w:val="4FD325DB"/>
    <w:rsid w:val="500B2D00"/>
    <w:rsid w:val="501A1195"/>
    <w:rsid w:val="506348EA"/>
    <w:rsid w:val="50697A27"/>
    <w:rsid w:val="509360E7"/>
    <w:rsid w:val="50A218B6"/>
    <w:rsid w:val="50D457E8"/>
    <w:rsid w:val="50ED0658"/>
    <w:rsid w:val="50F47C38"/>
    <w:rsid w:val="50FE4613"/>
    <w:rsid w:val="51167BAE"/>
    <w:rsid w:val="51271DBC"/>
    <w:rsid w:val="51363DAD"/>
    <w:rsid w:val="514A5AAA"/>
    <w:rsid w:val="51750D79"/>
    <w:rsid w:val="519136D9"/>
    <w:rsid w:val="51A21442"/>
    <w:rsid w:val="51B66C9C"/>
    <w:rsid w:val="51CB2747"/>
    <w:rsid w:val="520D44D2"/>
    <w:rsid w:val="52410C5B"/>
    <w:rsid w:val="52860D64"/>
    <w:rsid w:val="52AD009F"/>
    <w:rsid w:val="52D95337"/>
    <w:rsid w:val="53364538"/>
    <w:rsid w:val="536410A5"/>
    <w:rsid w:val="536A5209"/>
    <w:rsid w:val="53E61ABA"/>
    <w:rsid w:val="53F266B1"/>
    <w:rsid w:val="53F57A0D"/>
    <w:rsid w:val="54273E81"/>
    <w:rsid w:val="54420CBA"/>
    <w:rsid w:val="551C775D"/>
    <w:rsid w:val="55264138"/>
    <w:rsid w:val="55286102"/>
    <w:rsid w:val="553E1482"/>
    <w:rsid w:val="55AD1A38"/>
    <w:rsid w:val="56262642"/>
    <w:rsid w:val="56332FB1"/>
    <w:rsid w:val="564E1B99"/>
    <w:rsid w:val="56892BD1"/>
    <w:rsid w:val="56B8202A"/>
    <w:rsid w:val="56D54068"/>
    <w:rsid w:val="56E878F7"/>
    <w:rsid w:val="56ED7603"/>
    <w:rsid w:val="572B4076"/>
    <w:rsid w:val="573B4B9A"/>
    <w:rsid w:val="574A6804"/>
    <w:rsid w:val="57BD4B8F"/>
    <w:rsid w:val="57C32112"/>
    <w:rsid w:val="57F549C2"/>
    <w:rsid w:val="580E5A83"/>
    <w:rsid w:val="58682EA9"/>
    <w:rsid w:val="58920462"/>
    <w:rsid w:val="58E467E4"/>
    <w:rsid w:val="592A069B"/>
    <w:rsid w:val="594D4389"/>
    <w:rsid w:val="5975743C"/>
    <w:rsid w:val="5999312B"/>
    <w:rsid w:val="59D86349"/>
    <w:rsid w:val="5A0E58C7"/>
    <w:rsid w:val="5B0D3DD0"/>
    <w:rsid w:val="5B1213E7"/>
    <w:rsid w:val="5B1C4013"/>
    <w:rsid w:val="5B296730"/>
    <w:rsid w:val="5B7E082A"/>
    <w:rsid w:val="5BB46942"/>
    <w:rsid w:val="5BB727DA"/>
    <w:rsid w:val="5BC07095"/>
    <w:rsid w:val="5BD26DC8"/>
    <w:rsid w:val="5BDB5BDA"/>
    <w:rsid w:val="5BED775E"/>
    <w:rsid w:val="5BEF797A"/>
    <w:rsid w:val="5C003935"/>
    <w:rsid w:val="5C1271C4"/>
    <w:rsid w:val="5C142F3C"/>
    <w:rsid w:val="5C256559"/>
    <w:rsid w:val="5C5617A7"/>
    <w:rsid w:val="5C6914DA"/>
    <w:rsid w:val="5CA40764"/>
    <w:rsid w:val="5CB12E81"/>
    <w:rsid w:val="5D3A2E77"/>
    <w:rsid w:val="5D4D4958"/>
    <w:rsid w:val="5D543F38"/>
    <w:rsid w:val="5D753EAF"/>
    <w:rsid w:val="5DAF5613"/>
    <w:rsid w:val="5DDE3802"/>
    <w:rsid w:val="5E1D07CE"/>
    <w:rsid w:val="5E525F9E"/>
    <w:rsid w:val="5E916AC6"/>
    <w:rsid w:val="5EB86749"/>
    <w:rsid w:val="5EFA466C"/>
    <w:rsid w:val="5F351B48"/>
    <w:rsid w:val="5F546567"/>
    <w:rsid w:val="5F5A335C"/>
    <w:rsid w:val="5F7A755A"/>
    <w:rsid w:val="5F7C32D2"/>
    <w:rsid w:val="600532C8"/>
    <w:rsid w:val="6042451C"/>
    <w:rsid w:val="60563B24"/>
    <w:rsid w:val="60AC408B"/>
    <w:rsid w:val="60B3541A"/>
    <w:rsid w:val="60B64AED"/>
    <w:rsid w:val="60CC028A"/>
    <w:rsid w:val="60FA6BA5"/>
    <w:rsid w:val="61023CAB"/>
    <w:rsid w:val="611F03B9"/>
    <w:rsid w:val="61300818"/>
    <w:rsid w:val="61642270"/>
    <w:rsid w:val="617701F5"/>
    <w:rsid w:val="61952D71"/>
    <w:rsid w:val="61970898"/>
    <w:rsid w:val="61B74A96"/>
    <w:rsid w:val="61C64CD9"/>
    <w:rsid w:val="62744735"/>
    <w:rsid w:val="62F12185"/>
    <w:rsid w:val="62F13FD7"/>
    <w:rsid w:val="62F35FA1"/>
    <w:rsid w:val="63043D0B"/>
    <w:rsid w:val="63141A74"/>
    <w:rsid w:val="63A96660"/>
    <w:rsid w:val="63D23E09"/>
    <w:rsid w:val="63F518A5"/>
    <w:rsid w:val="642B3519"/>
    <w:rsid w:val="643423CE"/>
    <w:rsid w:val="647B624F"/>
    <w:rsid w:val="64872E45"/>
    <w:rsid w:val="64992B79"/>
    <w:rsid w:val="64CC6AAA"/>
    <w:rsid w:val="64D70FAB"/>
    <w:rsid w:val="64E9276A"/>
    <w:rsid w:val="65071890"/>
    <w:rsid w:val="65424FBE"/>
    <w:rsid w:val="65516FAF"/>
    <w:rsid w:val="659B647C"/>
    <w:rsid w:val="66173D55"/>
    <w:rsid w:val="66372DAC"/>
    <w:rsid w:val="66727C84"/>
    <w:rsid w:val="66990C0E"/>
    <w:rsid w:val="66D659BE"/>
    <w:rsid w:val="67717495"/>
    <w:rsid w:val="678B49FB"/>
    <w:rsid w:val="67900263"/>
    <w:rsid w:val="6793565D"/>
    <w:rsid w:val="67946D14"/>
    <w:rsid w:val="67D619EE"/>
    <w:rsid w:val="67DC5256"/>
    <w:rsid w:val="67EC55E1"/>
    <w:rsid w:val="67F3434E"/>
    <w:rsid w:val="67F57168"/>
    <w:rsid w:val="6828049B"/>
    <w:rsid w:val="686676EC"/>
    <w:rsid w:val="68CF0917"/>
    <w:rsid w:val="68D20407"/>
    <w:rsid w:val="694C1F68"/>
    <w:rsid w:val="694F1A58"/>
    <w:rsid w:val="69731BEA"/>
    <w:rsid w:val="69DA7573"/>
    <w:rsid w:val="69FA7C16"/>
    <w:rsid w:val="6A3A6264"/>
    <w:rsid w:val="6AB2229E"/>
    <w:rsid w:val="6AC36259"/>
    <w:rsid w:val="6AC41FD2"/>
    <w:rsid w:val="6B2807B2"/>
    <w:rsid w:val="6B4A24D7"/>
    <w:rsid w:val="6B785296"/>
    <w:rsid w:val="6C1D7BEB"/>
    <w:rsid w:val="6C3D64DF"/>
    <w:rsid w:val="6C4258A4"/>
    <w:rsid w:val="6C5555D7"/>
    <w:rsid w:val="6C580C23"/>
    <w:rsid w:val="6CC10EBE"/>
    <w:rsid w:val="6CC12C6C"/>
    <w:rsid w:val="6CE1330F"/>
    <w:rsid w:val="6D3A657B"/>
    <w:rsid w:val="6D48513C"/>
    <w:rsid w:val="6D513FF0"/>
    <w:rsid w:val="6D6D4BA2"/>
    <w:rsid w:val="6D7B2E1B"/>
    <w:rsid w:val="6DCF4F15"/>
    <w:rsid w:val="6E292877"/>
    <w:rsid w:val="6E6E0BD2"/>
    <w:rsid w:val="6F280D81"/>
    <w:rsid w:val="6FAC3760"/>
    <w:rsid w:val="6FD42CB7"/>
    <w:rsid w:val="702A6D7B"/>
    <w:rsid w:val="706A69E0"/>
    <w:rsid w:val="70814BED"/>
    <w:rsid w:val="708E2E66"/>
    <w:rsid w:val="70D171F6"/>
    <w:rsid w:val="70E21403"/>
    <w:rsid w:val="713954C7"/>
    <w:rsid w:val="71681909"/>
    <w:rsid w:val="71B20DD6"/>
    <w:rsid w:val="71DB20DB"/>
    <w:rsid w:val="723914F7"/>
    <w:rsid w:val="72710C91"/>
    <w:rsid w:val="72895FDA"/>
    <w:rsid w:val="72C245E9"/>
    <w:rsid w:val="72F1592E"/>
    <w:rsid w:val="731358A4"/>
    <w:rsid w:val="732B52E4"/>
    <w:rsid w:val="73614861"/>
    <w:rsid w:val="736507F6"/>
    <w:rsid w:val="736B56E0"/>
    <w:rsid w:val="73C02B06"/>
    <w:rsid w:val="73C05A2C"/>
    <w:rsid w:val="73DF7D10"/>
    <w:rsid w:val="743B50B2"/>
    <w:rsid w:val="74842EFD"/>
    <w:rsid w:val="74C34686"/>
    <w:rsid w:val="753A7A60"/>
    <w:rsid w:val="753C7334"/>
    <w:rsid w:val="754B3A1B"/>
    <w:rsid w:val="755503F6"/>
    <w:rsid w:val="756A2943"/>
    <w:rsid w:val="759251A6"/>
    <w:rsid w:val="75D51537"/>
    <w:rsid w:val="760065B4"/>
    <w:rsid w:val="761756AB"/>
    <w:rsid w:val="76A553AD"/>
    <w:rsid w:val="76C43A85"/>
    <w:rsid w:val="76DD68F5"/>
    <w:rsid w:val="77756B2D"/>
    <w:rsid w:val="77AF64E3"/>
    <w:rsid w:val="77BD61E6"/>
    <w:rsid w:val="786B1CDE"/>
    <w:rsid w:val="789C1D2F"/>
    <w:rsid w:val="78CE23CE"/>
    <w:rsid w:val="78EF46BD"/>
    <w:rsid w:val="79393B8B"/>
    <w:rsid w:val="79560563"/>
    <w:rsid w:val="79725A1A"/>
    <w:rsid w:val="7984574E"/>
    <w:rsid w:val="79BF6786"/>
    <w:rsid w:val="7A0B3779"/>
    <w:rsid w:val="7A132849"/>
    <w:rsid w:val="7A7675B9"/>
    <w:rsid w:val="7ACB4CB6"/>
    <w:rsid w:val="7AE069B4"/>
    <w:rsid w:val="7AE30252"/>
    <w:rsid w:val="7AF20B58"/>
    <w:rsid w:val="7B876E2F"/>
    <w:rsid w:val="7BBF0CBF"/>
    <w:rsid w:val="7BD14F61"/>
    <w:rsid w:val="7BD77DB7"/>
    <w:rsid w:val="7C0466D2"/>
    <w:rsid w:val="7C43369E"/>
    <w:rsid w:val="7C4758C6"/>
    <w:rsid w:val="7C492337"/>
    <w:rsid w:val="7C570EF7"/>
    <w:rsid w:val="7C833A9B"/>
    <w:rsid w:val="7D07647A"/>
    <w:rsid w:val="7D63567A"/>
    <w:rsid w:val="7DB12889"/>
    <w:rsid w:val="7DB724E7"/>
    <w:rsid w:val="7DC51E91"/>
    <w:rsid w:val="7DCC76C3"/>
    <w:rsid w:val="7DEC566F"/>
    <w:rsid w:val="7DFA4230"/>
    <w:rsid w:val="7E2412AD"/>
    <w:rsid w:val="7E7062A0"/>
    <w:rsid w:val="7E915E10"/>
    <w:rsid w:val="7ECD724F"/>
    <w:rsid w:val="7F477001"/>
    <w:rsid w:val="7F8E2E82"/>
    <w:rsid w:val="7FF15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style>
  <w:style w:type="paragraph" w:customStyle="1" w:styleId="4">
    <w:name w:val="Default"/>
    <w:qFormat/>
    <w:uiPriority w:val="99"/>
    <w:pPr>
      <w:widowControl w:val="0"/>
      <w:autoSpaceDE w:val="0"/>
      <w:autoSpaceDN w:val="0"/>
      <w:adjustRightInd w:val="0"/>
    </w:pPr>
    <w:rPr>
      <w:rFonts w:ascii="宋体" w:hAnsi="宋体" w:eastAsia="等线" w:cs="宋体"/>
      <w:color w:val="000000"/>
      <w:sz w:val="24"/>
      <w:szCs w:val="24"/>
      <w:lang w:val="en-US" w:eastAsia="zh-CN"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800080"/>
      <w:u w:val="none"/>
    </w:rPr>
  </w:style>
  <w:style w:type="character" w:styleId="10">
    <w:name w:val="Hyperlink"/>
    <w:basedOn w:val="8"/>
    <w:qFormat/>
    <w:uiPriority w:val="0"/>
    <w:rPr>
      <w:color w:val="0000FF"/>
      <w:u w:val="none"/>
    </w:rPr>
  </w:style>
  <w:style w:type="character" w:customStyle="1" w:styleId="11">
    <w:name w:val="nth-child(2)"/>
    <w:basedOn w:val="8"/>
    <w:qFormat/>
    <w:uiPriority w:val="0"/>
  </w:style>
  <w:style w:type="character" w:customStyle="1" w:styleId="12">
    <w:name w:val="nth-child(2)1"/>
    <w:basedOn w:val="8"/>
    <w:qFormat/>
    <w:uiPriority w:val="0"/>
  </w:style>
  <w:style w:type="character" w:customStyle="1" w:styleId="13">
    <w:name w:val="z2"/>
    <w:basedOn w:val="8"/>
    <w:qFormat/>
    <w:uiPriority w:val="0"/>
    <w:rPr>
      <w:color w:val="0C69B7"/>
      <w:shd w:val="clear" w:fill="FFFFFF"/>
    </w:rPr>
  </w:style>
  <w:style w:type="character" w:customStyle="1" w:styleId="14">
    <w:name w:val="zx"/>
    <w:basedOn w:val="8"/>
    <w:qFormat/>
    <w:uiPriority w:val="0"/>
    <w:rPr>
      <w:color w:val="2FB8A0"/>
      <w:bdr w:val="single" w:color="2FB8A0" w:sz="6" w:space="0"/>
    </w:rPr>
  </w:style>
  <w:style w:type="character" w:customStyle="1" w:styleId="15">
    <w:name w:val="act"/>
    <w:basedOn w:val="8"/>
    <w:qFormat/>
    <w:uiPriority w:val="0"/>
    <w:rPr>
      <w:color w:val="4D87BE"/>
      <w:shd w:val="clear" w:fill="FFFFFF"/>
    </w:rPr>
  </w:style>
  <w:style w:type="character" w:customStyle="1" w:styleId="16">
    <w:name w:val="act1"/>
    <w:basedOn w:val="8"/>
    <w:qFormat/>
    <w:uiPriority w:val="0"/>
    <w:rPr>
      <w:shd w:val="clear" w:fill="FF9900"/>
    </w:rPr>
  </w:style>
  <w:style w:type="character" w:customStyle="1" w:styleId="17">
    <w:name w:val="act2"/>
    <w:basedOn w:val="8"/>
    <w:qFormat/>
    <w:uiPriority w:val="0"/>
    <w:rPr>
      <w:color w:val="4D87BE"/>
      <w:shd w:val="clear" w:fill="FFFFFF"/>
    </w:rPr>
  </w:style>
  <w:style w:type="character" w:customStyle="1" w:styleId="18">
    <w:name w:val="act3"/>
    <w:basedOn w:val="8"/>
    <w:qFormat/>
    <w:uiPriority w:val="0"/>
    <w:rPr>
      <w:color w:val="0C69B7"/>
    </w:rPr>
  </w:style>
  <w:style w:type="character" w:customStyle="1" w:styleId="19">
    <w:name w:val="ts"/>
    <w:basedOn w:val="8"/>
    <w:qFormat/>
    <w:uiPriority w:val="0"/>
    <w:rPr>
      <w:color w:val="C82A3F"/>
      <w:bdr w:val="single" w:color="C82A3F" w:sz="6" w:space="0"/>
    </w:rPr>
  </w:style>
  <w:style w:type="character" w:customStyle="1" w:styleId="20">
    <w:name w:val="jb"/>
    <w:basedOn w:val="8"/>
    <w:qFormat/>
    <w:uiPriority w:val="0"/>
    <w:rPr>
      <w:color w:val="E2A229"/>
      <w:bdr w:val="single" w:color="E2A229" w:sz="6" w:space="0"/>
    </w:rPr>
  </w:style>
  <w:style w:type="character" w:customStyle="1" w:styleId="21">
    <w:name w:val="jxz"/>
    <w:basedOn w:val="8"/>
    <w:qFormat/>
    <w:uiPriority w:val="0"/>
    <w:rPr>
      <w:color w:val="C82A3F"/>
      <w:bdr w:val="single" w:color="C82A3F" w:sz="6" w:space="0"/>
    </w:rPr>
  </w:style>
  <w:style w:type="paragraph" w:customStyle="1" w:styleId="22">
    <w:name w:val="正文缩进2格"/>
    <w:basedOn w:val="1"/>
    <w:qFormat/>
    <w:uiPriority w:val="0"/>
    <w:pPr>
      <w:spacing w:line="600" w:lineRule="exact"/>
      <w:ind w:firstLine="639" w:firstLineChars="206"/>
    </w:pPr>
    <w:rPr>
      <w:rFonts w:ascii="仿宋_GB2312" w:hAnsi="宋体" w:eastAsia="仿宋_GB2312"/>
      <w:sz w:val="31"/>
      <w:szCs w:val="28"/>
    </w:rPr>
  </w:style>
  <w:style w:type="character" w:customStyle="1" w:styleId="23">
    <w:name w:val="font41"/>
    <w:basedOn w:val="8"/>
    <w:qFormat/>
    <w:uiPriority w:val="0"/>
    <w:rPr>
      <w:rFonts w:hint="eastAsia" w:ascii="宋体" w:hAnsi="宋体" w:eastAsia="宋体" w:cs="宋体"/>
      <w:b/>
      <w:bCs/>
      <w:color w:val="000000"/>
      <w:sz w:val="20"/>
      <w:szCs w:val="20"/>
      <w:u w:val="none"/>
    </w:rPr>
  </w:style>
  <w:style w:type="character" w:customStyle="1" w:styleId="24">
    <w:name w:val="font1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2507</Words>
  <Characters>2749</Characters>
  <Lines>0</Lines>
  <Paragraphs>0</Paragraphs>
  <TotalTime>6</TotalTime>
  <ScaleCrop>false</ScaleCrop>
  <LinksUpToDate>false</LinksUpToDate>
  <CharactersWithSpaces>2774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2022-10-08T08:54:00Z</dcterms:created>
  <dc:creator>荸荠</dc:creator>
  <cp:lastModifiedBy>荸荠</cp:lastModifiedBy>
  <dcterms:modified xsi:type="dcterms:W3CDTF">2025-10-15T08:23:03Z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B5B8EB4699AD41A4B9BC9A393F2784D5_13</vt:lpwstr>
  </property>
  <property fmtid="{D5CDD505-2E9C-101B-9397-08002B2CF9AE}" pid="4" name="KSOTemplateDocerSaveRecord">
    <vt:lpwstr>eyJoZGlkIjoiNDgzNWQyOWNmMTUzZmQzNDdkM2FjNDc2NmZhM2Y3MTIiLCJ1c2VySWQiOiI0Mzc4MDA3ODAifQ==</vt:lpwstr>
  </property>
</Properties>
</file>